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57E51" w14:textId="72DB561C" w:rsidR="00EE1F83" w:rsidRPr="001929C6" w:rsidRDefault="00EE1F83" w:rsidP="00077A4F">
      <w:pPr>
        <w:pStyle w:val="ListParagraph"/>
        <w:ind w:left="7789" w:right="-307" w:firstLine="131"/>
        <w:jc w:val="center"/>
        <w:rPr>
          <w:rFonts w:eastAsia="Times New Roman"/>
        </w:rPr>
      </w:pPr>
      <w:r w:rsidRPr="00EE1F83">
        <w:rPr>
          <w:rFonts w:ascii="Helvetica" w:hAnsi="Helvetica" w:cs="Helvetica"/>
          <w:noProof/>
          <w:color w:val="202020"/>
          <w:sz w:val="24"/>
          <w:szCs w:val="24"/>
        </w:rPr>
        <mc:AlternateContent>
          <mc:Choice Requires="wps">
            <w:drawing>
              <wp:anchor distT="45720" distB="45720" distL="114300" distR="114300" simplePos="0" relativeHeight="251659264" behindDoc="0" locked="0" layoutInCell="1" allowOverlap="1" wp14:anchorId="6A0C0BC4" wp14:editId="2A3A97A4">
                <wp:simplePos x="0" y="0"/>
                <wp:positionH relativeFrom="column">
                  <wp:posOffset>-28575</wp:posOffset>
                </wp:positionH>
                <wp:positionV relativeFrom="paragraph">
                  <wp:posOffset>757555</wp:posOffset>
                </wp:positionV>
                <wp:extent cx="674370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solidFill>
                          <a:srgbClr val="7030A0"/>
                        </a:solidFill>
                        <a:ln w="9525">
                          <a:solidFill>
                            <a:srgbClr val="7030A0"/>
                          </a:solidFill>
                          <a:miter lim="800000"/>
                          <a:headEnd/>
                          <a:tailEnd/>
                        </a:ln>
                      </wps:spPr>
                      <wps:txbx>
                        <w:txbxContent>
                          <w:p w14:paraId="1689630B" w14:textId="77777777" w:rsidR="00EE1F83" w:rsidRDefault="00EE1F83">
                            <w:pPr>
                              <w:rPr>
                                <w:b/>
                                <w:bCs/>
                                <w:color w:val="FFFFFF" w:themeColor="background1"/>
                                <w:sz w:val="44"/>
                                <w:szCs w:val="44"/>
                              </w:rPr>
                            </w:pPr>
                            <w:r w:rsidRPr="00EE1F83">
                              <w:rPr>
                                <w:b/>
                                <w:bCs/>
                                <w:color w:val="FFFFFF" w:themeColor="background1"/>
                                <w:sz w:val="44"/>
                                <w:szCs w:val="44"/>
                              </w:rPr>
                              <w:t xml:space="preserve">Medicines Optimisation Newsletter </w:t>
                            </w:r>
                          </w:p>
                          <w:p w14:paraId="182A1F7B" w14:textId="00BE4F49" w:rsidR="00EE1F83" w:rsidRPr="00EE1F83" w:rsidRDefault="00EE1F83">
                            <w:pPr>
                              <w:rPr>
                                <w:b/>
                                <w:bCs/>
                                <w:color w:val="FFFFFF" w:themeColor="background1"/>
                                <w:sz w:val="44"/>
                                <w:szCs w:val="44"/>
                              </w:rPr>
                            </w:pPr>
                            <w:r w:rsidRPr="00EE1F83">
                              <w:rPr>
                                <w:b/>
                                <w:bCs/>
                                <w:color w:val="FFFFFF" w:themeColor="background1"/>
                                <w:sz w:val="44"/>
                                <w:szCs w:val="44"/>
                              </w:rPr>
                              <w:t>[</w:t>
                            </w:r>
                            <w:r w:rsidR="00CE4DA2">
                              <w:rPr>
                                <w:b/>
                                <w:bCs/>
                                <w:color w:val="FFFFFF" w:themeColor="background1"/>
                                <w:sz w:val="44"/>
                                <w:szCs w:val="44"/>
                              </w:rPr>
                              <w:t>Ju</w:t>
                            </w:r>
                            <w:r w:rsidR="00551DBB">
                              <w:rPr>
                                <w:b/>
                                <w:bCs/>
                                <w:color w:val="FFFFFF" w:themeColor="background1"/>
                                <w:sz w:val="44"/>
                                <w:szCs w:val="44"/>
                              </w:rPr>
                              <w:t>ly</w:t>
                            </w:r>
                            <w:r w:rsidR="00CE4DA2">
                              <w:rPr>
                                <w:b/>
                                <w:bCs/>
                                <w:color w:val="FFFFFF" w:themeColor="background1"/>
                                <w:sz w:val="44"/>
                                <w:szCs w:val="44"/>
                              </w:rPr>
                              <w:t xml:space="preserve"> </w:t>
                            </w:r>
                            <w:r w:rsidRPr="00EE1F83">
                              <w:rPr>
                                <w:b/>
                                <w:bCs/>
                                <w:color w:val="FFFFFF" w:themeColor="background1"/>
                                <w:sz w:val="44"/>
                                <w:szCs w:val="44"/>
                              </w:rPr>
                              <w:t>2023]</w:t>
                            </w:r>
                            <w:r>
                              <w:rPr>
                                <w:b/>
                                <w:bCs/>
                                <w:color w:val="FFFFFF" w:themeColor="background1"/>
                                <w:sz w:val="44"/>
                                <w:szCs w:val="44"/>
                              </w:rPr>
                              <w:t xml:space="preserve"> (Issue No.</w:t>
                            </w:r>
                            <w:r w:rsidR="00CE4DA2">
                              <w:rPr>
                                <w:b/>
                                <w:bCs/>
                                <w:color w:val="FFFFFF" w:themeColor="background1"/>
                                <w:sz w:val="44"/>
                                <w:szCs w:val="44"/>
                              </w:rPr>
                              <w:t>4</w:t>
                            </w:r>
                            <w:r w:rsidR="00551DBB">
                              <w:rPr>
                                <w:b/>
                                <w:bCs/>
                                <w:color w:val="FFFFFF" w:themeColor="background1"/>
                                <w:sz w:val="44"/>
                                <w:szCs w:val="44"/>
                              </w:rPr>
                              <w:t>8</w:t>
                            </w:r>
                            <w:r>
                              <w:rPr>
                                <w:b/>
                                <w:bCs/>
                                <w:color w:val="FFFFFF" w:themeColor="background1"/>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C0BC4" id="_x0000_t202" coordsize="21600,21600" o:spt="202" path="m,l,21600r21600,l21600,xe">
                <v:stroke joinstyle="miter"/>
                <v:path gradientshapeok="t" o:connecttype="rect"/>
              </v:shapetype>
              <v:shape id="Text Box 2" o:spid="_x0000_s1026" type="#_x0000_t202" style="position:absolute;left:0;text-align:left;margin-left:-2.25pt;margin-top:59.65pt;width:531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" fillcolor="#7030a0" strokecolor="#7030a0">
                <v:textbox>
                  <w:txbxContent>
                    <w:p w14:paraId="1689630B" w14:textId="77777777" w:rsidR="00EE1F83" w:rsidRDefault="00EE1F83">
                      <w:pPr>
                        <w:rPr>
                          <w:b/>
                          <w:bCs/>
                          <w:color w:val="FFFFFF" w:themeColor="background1"/>
                          <w:sz w:val="44"/>
                          <w:szCs w:val="44"/>
                        </w:rPr>
                      </w:pPr>
                      <w:r w:rsidRPr="00EE1F83">
                        <w:rPr>
                          <w:b/>
                          <w:bCs/>
                          <w:color w:val="FFFFFF" w:themeColor="background1"/>
                          <w:sz w:val="44"/>
                          <w:szCs w:val="44"/>
                        </w:rPr>
                        <w:t xml:space="preserve">Medicines Optimisation Newsletter </w:t>
                      </w:r>
                    </w:p>
                    <w:p w14:paraId="182A1F7B" w14:textId="00BE4F49" w:rsidR="00EE1F83" w:rsidRPr="00EE1F83" w:rsidRDefault="00EE1F83">
                      <w:pPr>
                        <w:rPr>
                          <w:b/>
                          <w:bCs/>
                          <w:color w:val="FFFFFF" w:themeColor="background1"/>
                          <w:sz w:val="44"/>
                          <w:szCs w:val="44"/>
                        </w:rPr>
                      </w:pPr>
                      <w:r w:rsidRPr="00EE1F83">
                        <w:rPr>
                          <w:b/>
                          <w:bCs/>
                          <w:color w:val="FFFFFF" w:themeColor="background1"/>
                          <w:sz w:val="44"/>
                          <w:szCs w:val="44"/>
                        </w:rPr>
                        <w:t>[</w:t>
                      </w:r>
                      <w:r w:rsidR="00CE4DA2">
                        <w:rPr>
                          <w:b/>
                          <w:bCs/>
                          <w:color w:val="FFFFFF" w:themeColor="background1"/>
                          <w:sz w:val="44"/>
                          <w:szCs w:val="44"/>
                        </w:rPr>
                        <w:t>Ju</w:t>
                      </w:r>
                      <w:r w:rsidR="00551DBB">
                        <w:rPr>
                          <w:b/>
                          <w:bCs/>
                          <w:color w:val="FFFFFF" w:themeColor="background1"/>
                          <w:sz w:val="44"/>
                          <w:szCs w:val="44"/>
                        </w:rPr>
                        <w:t>ly</w:t>
                      </w:r>
                      <w:r w:rsidR="00CE4DA2">
                        <w:rPr>
                          <w:b/>
                          <w:bCs/>
                          <w:color w:val="FFFFFF" w:themeColor="background1"/>
                          <w:sz w:val="44"/>
                          <w:szCs w:val="44"/>
                        </w:rPr>
                        <w:t xml:space="preserve"> </w:t>
                      </w:r>
                      <w:r w:rsidRPr="00EE1F83">
                        <w:rPr>
                          <w:b/>
                          <w:bCs/>
                          <w:color w:val="FFFFFF" w:themeColor="background1"/>
                          <w:sz w:val="44"/>
                          <w:szCs w:val="44"/>
                        </w:rPr>
                        <w:t>2023]</w:t>
                      </w:r>
                      <w:r>
                        <w:rPr>
                          <w:b/>
                          <w:bCs/>
                          <w:color w:val="FFFFFF" w:themeColor="background1"/>
                          <w:sz w:val="44"/>
                          <w:szCs w:val="44"/>
                        </w:rPr>
                        <w:t xml:space="preserve"> (Issue No.</w:t>
                      </w:r>
                      <w:r w:rsidR="00CE4DA2">
                        <w:rPr>
                          <w:b/>
                          <w:bCs/>
                          <w:color w:val="FFFFFF" w:themeColor="background1"/>
                          <w:sz w:val="44"/>
                          <w:szCs w:val="44"/>
                        </w:rPr>
                        <w:t>4</w:t>
                      </w:r>
                      <w:r w:rsidR="00551DBB">
                        <w:rPr>
                          <w:b/>
                          <w:bCs/>
                          <w:color w:val="FFFFFF" w:themeColor="background1"/>
                          <w:sz w:val="44"/>
                          <w:szCs w:val="44"/>
                        </w:rPr>
                        <w:t>8</w:t>
                      </w:r>
                      <w:r>
                        <w:rPr>
                          <w:b/>
                          <w:bCs/>
                          <w:color w:val="FFFFFF" w:themeColor="background1"/>
                          <w:sz w:val="44"/>
                          <w:szCs w:val="44"/>
                        </w:rPr>
                        <w:t>)</w:t>
                      </w:r>
                    </w:p>
                  </w:txbxContent>
                </v:textbox>
                <w10:wrap type="square"/>
              </v:shape>
            </w:pict>
          </mc:Fallback>
        </mc:AlternateContent>
      </w:r>
      <w:r>
        <w:rPr>
          <w:rFonts w:eastAsia="Times New Roman"/>
          <w:noProof/>
        </w:rPr>
        <w:drawing>
          <wp:anchor distT="0" distB="0" distL="114300" distR="114300" simplePos="0" relativeHeight="251660288" behindDoc="0" locked="0" layoutInCell="1" allowOverlap="1" wp14:anchorId="4C8BFEB1" wp14:editId="6DFE56AE">
            <wp:simplePos x="0" y="0"/>
            <wp:positionH relativeFrom="column">
              <wp:posOffset>5915025</wp:posOffset>
            </wp:positionH>
            <wp:positionV relativeFrom="paragraph">
              <wp:posOffset>757555</wp:posOffset>
            </wp:positionV>
            <wp:extent cx="866775" cy="866775"/>
            <wp:effectExtent l="0" t="0" r="0" b="0"/>
            <wp:wrapNone/>
            <wp:docPr id="4" name="Graphic 4" descr="Medic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edicine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r w:rsidR="00647897">
        <w:rPr>
          <w:noProof/>
        </w:rPr>
        <w:drawing>
          <wp:inline distT="0" distB="0" distL="0" distR="0" wp14:anchorId="7C509A6E" wp14:editId="74CE6122">
            <wp:extent cx="1702810" cy="638175"/>
            <wp:effectExtent l="0" t="0" r="0" b="0"/>
            <wp:docPr id="2" name="Picture 2" descr="Graphical user interfac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logo&#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697" t="20515" r="8189" b="14176"/>
                    <a:stretch/>
                  </pic:blipFill>
                  <pic:spPr bwMode="auto">
                    <a:xfrm>
                      <a:off x="0" y="0"/>
                      <a:ext cx="1745194" cy="654060"/>
                    </a:xfrm>
                    <a:prstGeom prst="rect">
                      <a:avLst/>
                    </a:prstGeom>
                    <a:noFill/>
                    <a:ln>
                      <a:noFill/>
                    </a:ln>
                    <a:extLst>
                      <a:ext uri="{53640926-AAD7-44D8-BBD7-CCE9431645EC}">
                        <a14:shadowObscured xmlns:a14="http://schemas.microsoft.com/office/drawing/2010/main"/>
                      </a:ext>
                    </a:extLst>
                  </pic:spPr>
                </pic:pic>
              </a:graphicData>
            </a:graphic>
          </wp:inline>
        </w:drawing>
      </w:r>
    </w:p>
    <w:p w14:paraId="2441A1EE" w14:textId="77777777" w:rsidR="00EE1F83" w:rsidRDefault="00EE1F83" w:rsidP="00C349F2">
      <w:pPr>
        <w:rPr>
          <w:rFonts w:eastAsia="Times New Roman"/>
        </w:rPr>
      </w:pPr>
    </w:p>
    <w:p w14:paraId="22DEE026" w14:textId="7F4872E4" w:rsidR="00874147" w:rsidRPr="00874147" w:rsidRDefault="008D1F21" w:rsidP="00874147">
      <w:pPr>
        <w:ind w:left="57"/>
        <w:rPr>
          <w:b/>
          <w:bCs/>
          <w:color w:val="0000FF"/>
          <w:u w:val="single"/>
        </w:rPr>
      </w:pPr>
      <w:r>
        <w:t>•</w:t>
      </w:r>
      <w:r>
        <w:tab/>
      </w:r>
      <w:r w:rsidR="00874147" w:rsidRPr="00874147">
        <w:rPr>
          <w:color w:val="0000FF"/>
          <w:u w:val="single"/>
        </w:rPr>
        <w:t xml:space="preserve">Kent and Medway position statement on </w:t>
      </w:r>
      <w:proofErr w:type="spellStart"/>
      <w:r w:rsidR="00874147" w:rsidRPr="00874147">
        <w:rPr>
          <w:color w:val="0000FF"/>
          <w:u w:val="single"/>
        </w:rPr>
        <w:t>Inclisiran</w:t>
      </w:r>
      <w:proofErr w:type="spellEnd"/>
      <w:r w:rsidR="00874147" w:rsidRPr="00874147">
        <w:rPr>
          <w:color w:val="0000FF"/>
          <w:u w:val="single"/>
        </w:rPr>
        <w:t xml:space="preserve"> (</w:t>
      </w:r>
      <w:proofErr w:type="spellStart"/>
      <w:r w:rsidR="00874147" w:rsidRPr="00874147">
        <w:rPr>
          <w:color w:val="0000FF"/>
          <w:u w:val="single"/>
        </w:rPr>
        <w:t>Leqvio</w:t>
      </w:r>
      <w:proofErr w:type="spellEnd"/>
      <w:r w:rsidR="00874147" w:rsidRPr="00874147">
        <w:rPr>
          <w:color w:val="0000FF"/>
          <w:u w:val="single"/>
        </w:rPr>
        <w:t>®)</w:t>
      </w:r>
    </w:p>
    <w:p w14:paraId="404F81E1" w14:textId="03827EEF" w:rsidR="00874147" w:rsidRPr="00874147" w:rsidRDefault="00874147" w:rsidP="00874147">
      <w:pPr>
        <w:ind w:left="57"/>
        <w:rPr>
          <w:color w:val="0000FF"/>
          <w:u w:val="single"/>
        </w:rPr>
      </w:pPr>
      <w:r>
        <w:t>•</w:t>
      </w:r>
      <w:hyperlink w:anchor="Article3" w:history="1">
        <w:r w:rsidRPr="0001464E">
          <w:rPr>
            <w:rStyle w:val="Hyperlink"/>
            <w:u w:val="none"/>
          </w:rPr>
          <w:tab/>
        </w:r>
        <w:r>
          <w:rPr>
            <w:rStyle w:val="Hyperlink"/>
          </w:rPr>
          <w:t>Gluten Free Prescribing in Kent and Medway</w:t>
        </w:r>
      </w:hyperlink>
    </w:p>
    <w:p w14:paraId="57E895C0" w14:textId="77777777" w:rsidR="00874147" w:rsidRDefault="008D1F21" w:rsidP="00874147">
      <w:pPr>
        <w:ind w:left="57"/>
        <w:rPr>
          <w:rStyle w:val="Hyperlink"/>
        </w:rPr>
      </w:pPr>
      <w:r>
        <w:t>•</w:t>
      </w:r>
      <w:r w:rsidR="0001464E" w:rsidRPr="00874147">
        <w:tab/>
      </w:r>
      <w:r w:rsidR="00874147">
        <w:rPr>
          <w:rStyle w:val="Hyperlink"/>
        </w:rPr>
        <w:t>EOL medication</w:t>
      </w:r>
    </w:p>
    <w:p w14:paraId="105171D0" w14:textId="20FFACA1" w:rsidR="00874147" w:rsidRPr="00874147" w:rsidRDefault="00874147" w:rsidP="00874147">
      <w:pPr>
        <w:ind w:left="57"/>
        <w:rPr>
          <w:color w:val="0000FF"/>
          <w:u w:val="single"/>
        </w:rPr>
      </w:pPr>
      <w:r>
        <w:t>•</w:t>
      </w:r>
      <w:r w:rsidRPr="00874147">
        <w:tab/>
      </w:r>
      <w:r>
        <w:rPr>
          <w:rStyle w:val="Hyperlink"/>
        </w:rPr>
        <w:t xml:space="preserve">Missed Savings Opportunity </w:t>
      </w:r>
    </w:p>
    <w:p w14:paraId="5DA903C7" w14:textId="3430FBC0" w:rsidR="001929C6" w:rsidRPr="0001464E" w:rsidRDefault="008D1F21" w:rsidP="0001464E">
      <w:pPr>
        <w:ind w:left="57"/>
        <w:rPr>
          <w:rStyle w:val="Hyperlink"/>
          <w:b/>
          <w:bCs/>
        </w:rPr>
      </w:pPr>
      <w:r w:rsidRPr="001A02B1">
        <w:t>•</w:t>
      </w:r>
      <w:r w:rsidRPr="001A02B1">
        <w:tab/>
      </w:r>
      <w:r w:rsidR="00975A53">
        <w:fldChar w:fldCharType="begin"/>
      </w:r>
      <w:r w:rsidR="000A5D2D">
        <w:instrText>HYPERLINK  \l "Article4"</w:instrText>
      </w:r>
      <w:r w:rsidR="00975A53">
        <w:fldChar w:fldCharType="separate"/>
      </w:r>
      <w:r w:rsidR="0001464E" w:rsidRPr="0001464E">
        <w:rPr>
          <w:rStyle w:val="Hyperlink"/>
        </w:rPr>
        <w:t>NEWT guidelines subscription renewal</w:t>
      </w:r>
    </w:p>
    <w:p w14:paraId="27D600E9" w14:textId="718A8F5D" w:rsidR="00874147" w:rsidRDefault="00975A53" w:rsidP="00324B5F">
      <w:pPr>
        <w:pStyle w:val="ListParagraph"/>
        <w:numPr>
          <w:ilvl w:val="0"/>
          <w:numId w:val="5"/>
        </w:numPr>
        <w:ind w:left="426"/>
      </w:pPr>
      <w:r>
        <w:fldChar w:fldCharType="end"/>
      </w:r>
      <w:r w:rsidR="00410504">
        <w:t xml:space="preserve">  </w:t>
      </w:r>
      <w:r w:rsidR="00410504">
        <w:tab/>
      </w:r>
      <w:r w:rsidR="00324B5F" w:rsidRPr="00324B5F">
        <w:rPr>
          <w:color w:val="0000FF"/>
          <w:u w:val="single"/>
        </w:rPr>
        <w:t>GLP-1 Receptor Agonist Shortage</w:t>
      </w:r>
    </w:p>
    <w:p w14:paraId="7D717C6A" w14:textId="027856A8" w:rsidR="00410504" w:rsidRDefault="0012769B" w:rsidP="00551DBB">
      <w:pPr>
        <w:pStyle w:val="ListParagraph"/>
        <w:numPr>
          <w:ilvl w:val="0"/>
          <w:numId w:val="5"/>
        </w:numPr>
        <w:ind w:left="426"/>
      </w:pPr>
      <w:r>
        <w:tab/>
      </w:r>
      <w:r w:rsidR="00551DBB">
        <w:rPr>
          <w:rStyle w:val="Hyperlink"/>
        </w:rPr>
        <w:t>Medicine Recalls</w:t>
      </w:r>
    </w:p>
    <w:p w14:paraId="055A9603" w14:textId="69A72C40" w:rsidR="00410504" w:rsidRDefault="00D3361D" w:rsidP="00CA76FA">
      <w:pPr>
        <w:pStyle w:val="ListParagraph"/>
        <w:numPr>
          <w:ilvl w:val="0"/>
          <w:numId w:val="5"/>
        </w:numPr>
        <w:ind w:left="426"/>
      </w:pPr>
      <w:r>
        <w:t xml:space="preserve">      </w:t>
      </w:r>
      <w:hyperlink w:anchor="Article8" w:history="1">
        <w:r>
          <w:rPr>
            <w:rStyle w:val="Hyperlink"/>
          </w:rPr>
          <w:t xml:space="preserve">MHRA Drug Safety Update </w:t>
        </w:r>
        <w:r w:rsidR="00551DBB">
          <w:rPr>
            <w:rStyle w:val="Hyperlink"/>
          </w:rPr>
          <w:t>June</w:t>
        </w:r>
        <w:r>
          <w:rPr>
            <w:rStyle w:val="Hyperlink"/>
          </w:rPr>
          <w:t xml:space="preserve"> 2023</w:t>
        </w:r>
      </w:hyperlink>
    </w:p>
    <w:p w14:paraId="63B2A618" w14:textId="7B7B7158" w:rsidR="00410504" w:rsidRDefault="004F2F87" w:rsidP="00CA76FA">
      <w:pPr>
        <w:pStyle w:val="ListParagraph"/>
        <w:numPr>
          <w:ilvl w:val="0"/>
          <w:numId w:val="5"/>
        </w:numPr>
        <w:ind w:left="426"/>
      </w:pPr>
      <w:r>
        <w:t xml:space="preserve">      </w:t>
      </w:r>
      <w:hyperlink w:anchor="Article9" w:history="1">
        <w:r>
          <w:rPr>
            <w:rStyle w:val="Hyperlink"/>
          </w:rPr>
          <w:t xml:space="preserve">Shortages Summary </w:t>
        </w:r>
      </w:hyperlink>
    </w:p>
    <w:p w14:paraId="40CB69FC" w14:textId="284C24A8" w:rsidR="0025606B" w:rsidRPr="00551DBB" w:rsidRDefault="0025606B" w:rsidP="00551DBB">
      <w:pPr>
        <w:rPr>
          <w:rStyle w:val="Hyperlink"/>
          <w:color w:val="auto"/>
          <w:u w:val="none"/>
        </w:rPr>
      </w:pPr>
    </w:p>
    <w:p w14:paraId="49E43E1A" w14:textId="11F6B6B1" w:rsidR="00E4129D" w:rsidRDefault="00E4129D" w:rsidP="0025606B">
      <w:pPr>
        <w:pStyle w:val="ListParagraph"/>
        <w:ind w:left="426"/>
      </w:pPr>
      <w:r w:rsidRPr="00EE1F83">
        <w:rPr>
          <w:noProof/>
        </w:rPr>
        <mc:AlternateContent>
          <mc:Choice Requires="wps">
            <w:drawing>
              <wp:anchor distT="45720" distB="45720" distL="114300" distR="114300" simplePos="0" relativeHeight="251662336" behindDoc="0" locked="0" layoutInCell="1" allowOverlap="1" wp14:anchorId="4CA5E8AE" wp14:editId="4DBD80F0">
                <wp:simplePos x="0" y="0"/>
                <wp:positionH relativeFrom="column">
                  <wp:posOffset>38100</wp:posOffset>
                </wp:positionH>
                <wp:positionV relativeFrom="paragraph">
                  <wp:posOffset>316230</wp:posOffset>
                </wp:positionV>
                <wp:extent cx="6743700" cy="3524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52425"/>
                        </a:xfrm>
                        <a:prstGeom prst="rect">
                          <a:avLst/>
                        </a:prstGeom>
                        <a:solidFill>
                          <a:srgbClr val="7030A0"/>
                        </a:solidFill>
                        <a:ln w="9525">
                          <a:solidFill>
                            <a:srgbClr val="7030A0"/>
                          </a:solidFill>
                          <a:miter lim="800000"/>
                          <a:headEnd/>
                          <a:tailEnd/>
                        </a:ln>
                      </wps:spPr>
                      <wps:txbx>
                        <w:txbxContent>
                          <w:p w14:paraId="52B7EFBB" w14:textId="51F53BB3" w:rsidR="004505A2" w:rsidRPr="00E4129D" w:rsidRDefault="001D6D48" w:rsidP="004505A2">
                            <w:pPr>
                              <w:rPr>
                                <w:b/>
                                <w:bCs/>
                                <w:color w:val="FFFFFF" w:themeColor="background1"/>
                                <w:sz w:val="32"/>
                                <w:szCs w:val="32"/>
                              </w:rPr>
                            </w:pPr>
                            <w:r w:rsidRPr="00E4129D">
                              <w:rPr>
                                <w:b/>
                                <w:bCs/>
                                <w:color w:val="FFFFFF" w:themeColor="background1"/>
                                <w:sz w:val="32"/>
                                <w:szCs w:val="32"/>
                              </w:rPr>
                              <w:t>Kent and Medway</w:t>
                            </w:r>
                            <w:r w:rsidR="004505A2" w:rsidRPr="00E4129D">
                              <w:rPr>
                                <w:b/>
                                <w:bCs/>
                                <w:color w:val="FFFFFF" w:themeColor="background1"/>
                                <w:sz w:val="32"/>
                                <w:szCs w:val="32"/>
                              </w:rPr>
                              <w:t xml:space="preserve"> </w:t>
                            </w:r>
                            <w:r w:rsidRPr="00E4129D">
                              <w:rPr>
                                <w:b/>
                                <w:bCs/>
                                <w:color w:val="FFFFFF" w:themeColor="background1"/>
                                <w:sz w:val="32"/>
                                <w:szCs w:val="32"/>
                              </w:rPr>
                              <w:t>ICB</w:t>
                            </w:r>
                            <w:r w:rsidR="004505A2" w:rsidRPr="00E4129D">
                              <w:rPr>
                                <w:b/>
                                <w:bCs/>
                                <w:color w:val="FFFFFF" w:themeColor="background1"/>
                                <w:sz w:val="32"/>
                                <w:szCs w:val="32"/>
                              </w:rPr>
                              <w:t xml:space="preserve"> Updates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5E8AE" id="_x0000_s1027" type="#_x0000_t202" style="position:absolute;left:0;text-align:left;margin-left:3pt;margin-top:24.9pt;width:531pt;height:2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" fillcolor="#7030a0" strokecolor="#7030a0">
                <v:textbox>
                  <w:txbxContent>
                    <w:p w14:paraId="52B7EFBB" w14:textId="51F53BB3" w:rsidR="004505A2" w:rsidRPr="00E4129D" w:rsidRDefault="001D6D48" w:rsidP="004505A2">
                      <w:pPr>
                        <w:rPr>
                          <w:b/>
                          <w:bCs/>
                          <w:color w:val="FFFFFF" w:themeColor="background1"/>
                          <w:sz w:val="32"/>
                          <w:szCs w:val="32"/>
                        </w:rPr>
                      </w:pPr>
                      <w:r w:rsidRPr="00E4129D">
                        <w:rPr>
                          <w:b/>
                          <w:bCs/>
                          <w:color w:val="FFFFFF" w:themeColor="background1"/>
                          <w:sz w:val="32"/>
                          <w:szCs w:val="32"/>
                        </w:rPr>
                        <w:t>Kent and Medway</w:t>
                      </w:r>
                      <w:r w:rsidR="004505A2" w:rsidRPr="00E4129D">
                        <w:rPr>
                          <w:b/>
                          <w:bCs/>
                          <w:color w:val="FFFFFF" w:themeColor="background1"/>
                          <w:sz w:val="32"/>
                          <w:szCs w:val="32"/>
                        </w:rPr>
                        <w:t xml:space="preserve"> </w:t>
                      </w:r>
                      <w:r w:rsidRPr="00E4129D">
                        <w:rPr>
                          <w:b/>
                          <w:bCs/>
                          <w:color w:val="FFFFFF" w:themeColor="background1"/>
                          <w:sz w:val="32"/>
                          <w:szCs w:val="32"/>
                        </w:rPr>
                        <w:t>ICB</w:t>
                      </w:r>
                      <w:r w:rsidR="004505A2" w:rsidRPr="00E4129D">
                        <w:rPr>
                          <w:b/>
                          <w:bCs/>
                          <w:color w:val="FFFFFF" w:themeColor="background1"/>
                          <w:sz w:val="32"/>
                          <w:szCs w:val="32"/>
                        </w:rPr>
                        <w:t xml:space="preserve"> Updates</w:t>
                      </w:r>
                    </w:p>
                  </w:txbxContent>
                </v:textbox>
                <w10:wrap type="square"/>
              </v:shape>
            </w:pict>
          </mc:Fallback>
        </mc:AlternateContent>
      </w:r>
    </w:p>
    <w:p w14:paraId="1C3D80BA" w14:textId="13AB85BB" w:rsidR="004505A2" w:rsidRDefault="004505A2" w:rsidP="008D1F21">
      <w:pPr>
        <w:ind w:left="426"/>
      </w:pPr>
    </w:p>
    <w:p w14:paraId="6534A698" w14:textId="77777777" w:rsidR="00874147" w:rsidRPr="001D6D48" w:rsidRDefault="00874147" w:rsidP="00874147">
      <w:pPr>
        <w:shd w:val="clear" w:color="auto" w:fill="E5DFEC" w:themeFill="accent4" w:themeFillTint="33"/>
        <w:ind w:left="426"/>
        <w:rPr>
          <w:b/>
          <w:bCs/>
        </w:rPr>
      </w:pPr>
      <w:bookmarkStart w:id="0" w:name="_Hlk140076987"/>
      <w:r w:rsidRPr="00874147">
        <w:rPr>
          <w:b/>
          <w:bCs/>
        </w:rPr>
        <w:t xml:space="preserve">Kent and Medway position statement on </w:t>
      </w:r>
      <w:proofErr w:type="spellStart"/>
      <w:r w:rsidRPr="00874147">
        <w:rPr>
          <w:b/>
          <w:bCs/>
        </w:rPr>
        <w:t>Inclisiran</w:t>
      </w:r>
      <w:proofErr w:type="spellEnd"/>
      <w:r w:rsidRPr="00874147">
        <w:rPr>
          <w:b/>
          <w:bCs/>
        </w:rPr>
        <w:t xml:space="preserve"> (</w:t>
      </w:r>
      <w:proofErr w:type="spellStart"/>
      <w:r w:rsidRPr="00874147">
        <w:rPr>
          <w:b/>
          <w:bCs/>
        </w:rPr>
        <w:t>Leqvio</w:t>
      </w:r>
      <w:proofErr w:type="spellEnd"/>
      <w:r w:rsidRPr="00874147">
        <w:rPr>
          <w:b/>
          <w:bCs/>
        </w:rPr>
        <w:t>®)</w:t>
      </w:r>
    </w:p>
    <w:bookmarkEnd w:id="0"/>
    <w:p w14:paraId="2FE809E3" w14:textId="77777777" w:rsidR="00874147" w:rsidRDefault="00874147" w:rsidP="00874147"/>
    <w:p w14:paraId="73D00CD3" w14:textId="77777777" w:rsidR="00874147" w:rsidRDefault="00874147" w:rsidP="00874147">
      <w:pPr>
        <w:ind w:left="426"/>
      </w:pPr>
      <w:r w:rsidRPr="00874147">
        <w:t xml:space="preserve">In July 2023, the Kent and Medway ICB position statement on </w:t>
      </w:r>
      <w:proofErr w:type="spellStart"/>
      <w:r w:rsidRPr="00874147">
        <w:t>Inclisiran</w:t>
      </w:r>
      <w:proofErr w:type="spellEnd"/>
      <w:r w:rsidRPr="00874147">
        <w:t xml:space="preserve"> (</w:t>
      </w:r>
      <w:proofErr w:type="spellStart"/>
      <w:r w:rsidRPr="00874147">
        <w:t>Leqvio</w:t>
      </w:r>
      <w:proofErr w:type="spellEnd"/>
      <w:r w:rsidRPr="00874147">
        <w:t xml:space="preserve">®) was approved at IMOC (Integrated Medicines Optimisation Committee).  </w:t>
      </w:r>
    </w:p>
    <w:p w14:paraId="0F88DFCF" w14:textId="77777777" w:rsidR="00874147" w:rsidRPr="00874147" w:rsidRDefault="00874147" w:rsidP="00874147">
      <w:pPr>
        <w:ind w:left="426"/>
      </w:pPr>
    </w:p>
    <w:p w14:paraId="10FEC412" w14:textId="77777777" w:rsidR="00874147" w:rsidRDefault="00874147" w:rsidP="00874147">
      <w:pPr>
        <w:ind w:left="426"/>
      </w:pPr>
      <w:r w:rsidRPr="00874147">
        <w:t xml:space="preserve">The statement supports the use and prescribing of </w:t>
      </w:r>
      <w:proofErr w:type="spellStart"/>
      <w:r w:rsidRPr="00874147">
        <w:t>Inclisiran</w:t>
      </w:r>
      <w:proofErr w:type="spellEnd"/>
      <w:r w:rsidRPr="00874147">
        <w:t xml:space="preserve"> (</w:t>
      </w:r>
      <w:proofErr w:type="spellStart"/>
      <w:r w:rsidRPr="00874147">
        <w:t>Leqvio</w:t>
      </w:r>
      <w:proofErr w:type="spellEnd"/>
      <w:r w:rsidRPr="00874147">
        <w:t xml:space="preserve">®) across Kent and Medway ICB in primary and secondary care. </w:t>
      </w:r>
    </w:p>
    <w:p w14:paraId="18B49F0A" w14:textId="77777777" w:rsidR="00874147" w:rsidRPr="00874147" w:rsidRDefault="00874147" w:rsidP="00874147">
      <w:pPr>
        <w:ind w:left="426"/>
      </w:pPr>
    </w:p>
    <w:p w14:paraId="6445F475" w14:textId="77777777" w:rsidR="00874147" w:rsidRDefault="00874147" w:rsidP="00874147">
      <w:pPr>
        <w:ind w:left="426"/>
      </w:pPr>
      <w:r w:rsidRPr="00874147">
        <w:t xml:space="preserve">The statement states that </w:t>
      </w:r>
      <w:proofErr w:type="spellStart"/>
      <w:r w:rsidRPr="00874147">
        <w:t>Inclisiran</w:t>
      </w:r>
      <w:proofErr w:type="spellEnd"/>
      <w:r w:rsidRPr="00874147">
        <w:t xml:space="preserve"> (</w:t>
      </w:r>
      <w:proofErr w:type="spellStart"/>
      <w:r w:rsidRPr="00874147">
        <w:t>Leqvio</w:t>
      </w:r>
      <w:proofErr w:type="spellEnd"/>
      <w:r w:rsidRPr="00874147">
        <w:t xml:space="preserve">®) initiation and on-going management is recommended to be carried out </w:t>
      </w:r>
      <w:r w:rsidRPr="00874147">
        <w:rPr>
          <w:b/>
          <w:bCs/>
        </w:rPr>
        <w:t>predominantly within the primary care setting</w:t>
      </w:r>
      <w:r w:rsidRPr="00874147">
        <w:t xml:space="preserve"> where most patients with Atherosclerotic Cardiovascular Disease (ASCVD) are currently managed.</w:t>
      </w:r>
    </w:p>
    <w:p w14:paraId="6AC024B0" w14:textId="77777777" w:rsidR="00874147" w:rsidRPr="00874147" w:rsidRDefault="00874147" w:rsidP="00874147">
      <w:pPr>
        <w:ind w:left="426"/>
      </w:pPr>
    </w:p>
    <w:p w14:paraId="684C5B43" w14:textId="77777777" w:rsidR="00874147" w:rsidRDefault="00874147" w:rsidP="00874147">
      <w:pPr>
        <w:ind w:left="426"/>
      </w:pPr>
      <w:r w:rsidRPr="00874147">
        <w:t xml:space="preserve">The statement is aligned with the </w:t>
      </w:r>
      <w:hyperlink r:id="rId13" w:history="1">
        <w:r w:rsidRPr="00874147">
          <w:rPr>
            <w:rStyle w:val="Hyperlink"/>
          </w:rPr>
          <w:t>NICE TA733</w:t>
        </w:r>
      </w:hyperlink>
      <w:r w:rsidRPr="00874147">
        <w:t xml:space="preserve"> recommendation to use </w:t>
      </w:r>
      <w:proofErr w:type="spellStart"/>
      <w:r w:rsidRPr="00874147">
        <w:t>Inclisiran</w:t>
      </w:r>
      <w:proofErr w:type="spellEnd"/>
      <w:r w:rsidRPr="00874147">
        <w:t xml:space="preserve"> (</w:t>
      </w:r>
      <w:proofErr w:type="spellStart"/>
      <w:r w:rsidRPr="00874147">
        <w:t>Leqvio</w:t>
      </w:r>
      <w:proofErr w:type="spellEnd"/>
      <w:r w:rsidRPr="00874147">
        <w:t xml:space="preserve">®) as a treatment option for adults with primary hypercholesterolaemia (heterozygous familial and non-familial) or mixed dyslipidaemia as an adjunct to diet. </w:t>
      </w:r>
    </w:p>
    <w:p w14:paraId="545605AF" w14:textId="77777777" w:rsidR="00874147" w:rsidRPr="00874147" w:rsidRDefault="00874147" w:rsidP="00874147">
      <w:pPr>
        <w:ind w:left="426"/>
      </w:pPr>
    </w:p>
    <w:p w14:paraId="0324FD71" w14:textId="77777777" w:rsidR="00874147" w:rsidRPr="00874147" w:rsidRDefault="00874147" w:rsidP="00874147">
      <w:pPr>
        <w:ind w:left="426"/>
      </w:pPr>
      <w:r w:rsidRPr="00874147">
        <w:t>The position statement includes:</w:t>
      </w:r>
    </w:p>
    <w:p w14:paraId="3D1B9CFC" w14:textId="77777777" w:rsidR="00874147" w:rsidRPr="00874147" w:rsidRDefault="00874147" w:rsidP="00874147">
      <w:pPr>
        <w:numPr>
          <w:ilvl w:val="0"/>
          <w:numId w:val="16"/>
        </w:numPr>
      </w:pPr>
      <w:r w:rsidRPr="00874147">
        <w:t xml:space="preserve">Information on funding and reimbursement of </w:t>
      </w:r>
      <w:proofErr w:type="spellStart"/>
      <w:r w:rsidRPr="00874147">
        <w:t>Inclisiran</w:t>
      </w:r>
      <w:proofErr w:type="spellEnd"/>
      <w:r w:rsidRPr="00874147">
        <w:t xml:space="preserve"> (</w:t>
      </w:r>
      <w:proofErr w:type="spellStart"/>
      <w:r w:rsidRPr="00874147">
        <w:t>Leqvio</w:t>
      </w:r>
      <w:proofErr w:type="spellEnd"/>
      <w:r w:rsidRPr="00874147">
        <w:t>®)</w:t>
      </w:r>
    </w:p>
    <w:p w14:paraId="67624D95" w14:textId="77777777" w:rsidR="00874147" w:rsidRPr="00874147" w:rsidRDefault="00874147" w:rsidP="00874147">
      <w:pPr>
        <w:numPr>
          <w:ilvl w:val="0"/>
          <w:numId w:val="16"/>
        </w:numPr>
      </w:pPr>
      <w:r w:rsidRPr="00874147">
        <w:t xml:space="preserve">The rationale behind the introduction of </w:t>
      </w:r>
      <w:proofErr w:type="spellStart"/>
      <w:r w:rsidRPr="00874147">
        <w:t>Inclisiran</w:t>
      </w:r>
      <w:proofErr w:type="spellEnd"/>
      <w:r w:rsidRPr="00874147">
        <w:t xml:space="preserve"> use in primary care</w:t>
      </w:r>
    </w:p>
    <w:p w14:paraId="41473C66" w14:textId="77777777" w:rsidR="00874147" w:rsidRPr="00874147" w:rsidRDefault="00874147" w:rsidP="00874147">
      <w:pPr>
        <w:numPr>
          <w:ilvl w:val="0"/>
          <w:numId w:val="16"/>
        </w:numPr>
      </w:pPr>
      <w:r w:rsidRPr="00874147">
        <w:t>Addresses any safety concerns that clinicians may have</w:t>
      </w:r>
    </w:p>
    <w:p w14:paraId="64E4E4C7" w14:textId="77777777" w:rsidR="00874147" w:rsidRDefault="00874147" w:rsidP="00874147">
      <w:pPr>
        <w:numPr>
          <w:ilvl w:val="0"/>
          <w:numId w:val="16"/>
        </w:numPr>
      </w:pPr>
      <w:r w:rsidRPr="00874147">
        <w:t>A link to a useful resource pack provided by KSS AHSN</w:t>
      </w:r>
    </w:p>
    <w:p w14:paraId="3C298A53" w14:textId="77777777" w:rsidR="00874147" w:rsidRPr="00874147" w:rsidRDefault="00874147" w:rsidP="00874147">
      <w:pPr>
        <w:ind w:left="825"/>
      </w:pPr>
    </w:p>
    <w:p w14:paraId="20AC5870" w14:textId="77777777" w:rsidR="00874147" w:rsidRPr="00874147" w:rsidRDefault="00874147" w:rsidP="00874147">
      <w:pPr>
        <w:ind w:left="426"/>
      </w:pPr>
      <w:r w:rsidRPr="00874147">
        <w:t xml:space="preserve">Please refer to the </w:t>
      </w:r>
      <w:proofErr w:type="spellStart"/>
      <w:r w:rsidRPr="00874147">
        <w:t>Inclisiran</w:t>
      </w:r>
      <w:proofErr w:type="spellEnd"/>
      <w:r w:rsidRPr="00874147">
        <w:t xml:space="preserve"> (</w:t>
      </w:r>
      <w:proofErr w:type="spellStart"/>
      <w:r w:rsidRPr="00874147">
        <w:t>Leqvio</w:t>
      </w:r>
      <w:proofErr w:type="spellEnd"/>
      <w:r w:rsidRPr="00874147">
        <w:t xml:space="preserve">®) position statement attached for further details. </w:t>
      </w:r>
    </w:p>
    <w:p w14:paraId="0EC982B4" w14:textId="77777777" w:rsidR="00874147" w:rsidRDefault="00874147" w:rsidP="00874147">
      <w:pPr>
        <w:ind w:left="426"/>
      </w:pPr>
      <w:r w:rsidRPr="00874147">
        <w:lastRenderedPageBreak/>
        <w:t xml:space="preserve">Please note that there will be a training session on </w:t>
      </w:r>
      <w:proofErr w:type="spellStart"/>
      <w:r w:rsidRPr="00874147">
        <w:t>Inclisiran</w:t>
      </w:r>
      <w:proofErr w:type="spellEnd"/>
      <w:r w:rsidRPr="00874147">
        <w:t xml:space="preserve"> (</w:t>
      </w:r>
      <w:proofErr w:type="spellStart"/>
      <w:r w:rsidRPr="00874147">
        <w:t>Leqvio</w:t>
      </w:r>
      <w:proofErr w:type="spellEnd"/>
      <w:r w:rsidRPr="00874147">
        <w:t>®) use in primary care in the form of a webinar; details will be provided in due course.</w:t>
      </w:r>
    </w:p>
    <w:p w14:paraId="63A7E7D7" w14:textId="77777777" w:rsidR="00874147" w:rsidRDefault="00874147" w:rsidP="00874147">
      <w:pPr>
        <w:ind w:left="426"/>
      </w:pPr>
    </w:p>
    <w:p w14:paraId="3B7602A4" w14:textId="77777777" w:rsidR="00874147" w:rsidRPr="00874147" w:rsidRDefault="00874147" w:rsidP="00874147">
      <w:pPr>
        <w:ind w:left="426"/>
      </w:pPr>
      <w:r>
        <w:object w:dxaOrig="1534" w:dyaOrig="997" w14:anchorId="01FD1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AcroExch.Document.DC" ShapeID="_x0000_i1025" DrawAspect="Icon" ObjectID="_1751467237" r:id="rId15"/>
        </w:object>
      </w:r>
    </w:p>
    <w:p w14:paraId="605041E7" w14:textId="77777777" w:rsidR="00874147" w:rsidRDefault="00874147" w:rsidP="008D1F21">
      <w:pPr>
        <w:ind w:left="426"/>
      </w:pPr>
    </w:p>
    <w:p w14:paraId="69445198" w14:textId="77777777" w:rsidR="00874147" w:rsidRPr="00CB1C79" w:rsidRDefault="00874147" w:rsidP="00874147">
      <w:pPr>
        <w:shd w:val="clear" w:color="auto" w:fill="E5DFEC" w:themeFill="accent4" w:themeFillTint="33"/>
        <w:ind w:left="426"/>
        <w:rPr>
          <w:b/>
          <w:bCs/>
        </w:rPr>
      </w:pPr>
      <w:r w:rsidRPr="00CB1C79">
        <w:rPr>
          <w:b/>
          <w:bCs/>
        </w:rPr>
        <w:t>Gluten Free Prescribing in Kent and Medway</w:t>
      </w:r>
    </w:p>
    <w:p w14:paraId="7CFB2C7A" w14:textId="77777777" w:rsidR="00874147" w:rsidRDefault="00874147" w:rsidP="00874147"/>
    <w:p w14:paraId="00AAFB38" w14:textId="77777777" w:rsidR="00F10DC3" w:rsidRDefault="00F10DC3" w:rsidP="00874147">
      <w:pPr>
        <w:ind w:left="426"/>
      </w:pPr>
      <w:r w:rsidRPr="00F10DC3">
        <w:t>The NHSE recommendations on prescribing of Gluten Free products has now been aligned across Kent and Medway ICB to allow equity of access for patients who meet the criteria outlined below.</w:t>
      </w:r>
    </w:p>
    <w:p w14:paraId="1B7A04B2" w14:textId="77777777" w:rsidR="00F10DC3" w:rsidRDefault="00F10DC3" w:rsidP="00874147">
      <w:pPr>
        <w:ind w:left="426"/>
      </w:pPr>
    </w:p>
    <w:p w14:paraId="4AE6329D" w14:textId="3A7451FC" w:rsidR="00874147" w:rsidRPr="00CB1C79" w:rsidRDefault="00874147" w:rsidP="00874147">
      <w:pPr>
        <w:ind w:left="426"/>
      </w:pPr>
      <w:r w:rsidRPr="00CB1C79">
        <w:t xml:space="preserve">We would like to advise practices that in NHS Kent and Medway </w:t>
      </w:r>
      <w:r w:rsidRPr="00CB1C79">
        <w:rPr>
          <w:b/>
          <w:bCs/>
        </w:rPr>
        <w:t>only bread and mixes</w:t>
      </w:r>
      <w:r w:rsidRPr="00CB1C79">
        <w:t xml:space="preserve"> are allowed to be prescribed on FP10 prescriptions; </w:t>
      </w:r>
    </w:p>
    <w:p w14:paraId="7C309942" w14:textId="77777777" w:rsidR="00874147" w:rsidRPr="00CB1C79" w:rsidRDefault="00874147" w:rsidP="00874147">
      <w:pPr>
        <w:pStyle w:val="ListParagraph"/>
        <w:numPr>
          <w:ilvl w:val="2"/>
          <w:numId w:val="14"/>
        </w:numPr>
      </w:pPr>
      <w:r w:rsidRPr="00CB1C79">
        <w:t>Bread includes fresh, long life and part-baked loaves and rolls.</w:t>
      </w:r>
    </w:p>
    <w:p w14:paraId="6F746C37" w14:textId="77777777" w:rsidR="00874147" w:rsidRPr="00CB1C79" w:rsidRDefault="00874147" w:rsidP="00874147">
      <w:pPr>
        <w:pStyle w:val="ListParagraph"/>
        <w:numPr>
          <w:ilvl w:val="2"/>
          <w:numId w:val="14"/>
        </w:numPr>
      </w:pPr>
      <w:r w:rsidRPr="00CB1C79">
        <w:t>Mixes include bread and flour mixes.</w:t>
      </w:r>
    </w:p>
    <w:p w14:paraId="606861E8" w14:textId="77777777" w:rsidR="00874147" w:rsidRPr="00CB1C79" w:rsidRDefault="00874147" w:rsidP="00874147">
      <w:pPr>
        <w:ind w:left="426"/>
      </w:pPr>
      <w:r w:rsidRPr="00CB1C79">
        <w:t xml:space="preserve">Gluten Free (GF) products should only be prescribed for the Advisory Committee on Borderline Substances (ACBS) indications for patients with a confirmed documented diagnosis. Any prescribing not in line with an ACBS approved indication should be discontinued and patients should be advised to purchase until a confirmed diagnosis is given. </w:t>
      </w:r>
    </w:p>
    <w:p w14:paraId="1F80D8BA" w14:textId="77777777" w:rsidR="00874147" w:rsidRPr="00CB1C79" w:rsidRDefault="00874147" w:rsidP="00874147">
      <w:pPr>
        <w:ind w:left="426"/>
      </w:pPr>
    </w:p>
    <w:p w14:paraId="2D070A13" w14:textId="77777777" w:rsidR="00874147" w:rsidRPr="00CB1C79" w:rsidRDefault="00874147" w:rsidP="00874147">
      <w:pPr>
        <w:ind w:left="426"/>
      </w:pPr>
      <w:r w:rsidRPr="00CB1C79">
        <w:t>Only patients who meet ACBS indications are entitled to Gluten-free foods on FP10 i.e.</w:t>
      </w:r>
    </w:p>
    <w:p w14:paraId="021A3EB7" w14:textId="77777777" w:rsidR="00874147" w:rsidRPr="00CB1C79" w:rsidRDefault="00874147" w:rsidP="00874147">
      <w:pPr>
        <w:pStyle w:val="ListParagraph"/>
        <w:numPr>
          <w:ilvl w:val="0"/>
          <w:numId w:val="15"/>
        </w:numPr>
      </w:pPr>
      <w:r w:rsidRPr="00CB1C79">
        <w:t xml:space="preserve">Gluten-sensitive enteropathies including </w:t>
      </w:r>
      <w:proofErr w:type="spellStart"/>
      <w:r w:rsidRPr="00CB1C79">
        <w:t>steatorrhoea</w:t>
      </w:r>
      <w:proofErr w:type="spellEnd"/>
      <w:r w:rsidRPr="00CB1C79">
        <w:t xml:space="preserve"> due to gluten sensitivity;</w:t>
      </w:r>
    </w:p>
    <w:p w14:paraId="43E4B4B8" w14:textId="77777777" w:rsidR="00874147" w:rsidRPr="00CB1C79" w:rsidRDefault="00874147" w:rsidP="00874147">
      <w:pPr>
        <w:pStyle w:val="ListParagraph"/>
        <w:numPr>
          <w:ilvl w:val="0"/>
          <w:numId w:val="15"/>
        </w:numPr>
      </w:pPr>
      <w:r w:rsidRPr="00CB1C79">
        <w:t>Coeliac Disease; proven by biopsy;</w:t>
      </w:r>
    </w:p>
    <w:p w14:paraId="37F5C034" w14:textId="77777777" w:rsidR="00874147" w:rsidRPr="00CB1C79" w:rsidRDefault="00874147" w:rsidP="00874147">
      <w:pPr>
        <w:pStyle w:val="ListParagraph"/>
        <w:numPr>
          <w:ilvl w:val="0"/>
          <w:numId w:val="15"/>
        </w:numPr>
      </w:pPr>
      <w:r w:rsidRPr="00CB1C79">
        <w:t>Dermatitis herpetiformis.</w:t>
      </w:r>
    </w:p>
    <w:p w14:paraId="69DB4EB3" w14:textId="77777777" w:rsidR="00874147" w:rsidRPr="00CB1C79" w:rsidRDefault="00874147" w:rsidP="00874147">
      <w:pPr>
        <w:ind w:left="426"/>
      </w:pPr>
    </w:p>
    <w:p w14:paraId="1D6711A1" w14:textId="77777777" w:rsidR="00874147" w:rsidRPr="00CB1C79" w:rsidRDefault="00874147" w:rsidP="00874147">
      <w:pPr>
        <w:ind w:left="426"/>
      </w:pPr>
      <w:r w:rsidRPr="00CB1C79">
        <w:t xml:space="preserve">Examples of items </w:t>
      </w:r>
      <w:r w:rsidRPr="00CB1C79">
        <w:rPr>
          <w:b/>
          <w:bCs/>
        </w:rPr>
        <w:t>NOT</w:t>
      </w:r>
      <w:r w:rsidRPr="00CB1C79">
        <w:t xml:space="preserve"> to be prescribed on NHS prescription (list not exhaustive). </w:t>
      </w:r>
      <w:proofErr w:type="spellStart"/>
      <w:r w:rsidRPr="00CB1C79">
        <w:t>E.g</w:t>
      </w:r>
      <w:proofErr w:type="spellEnd"/>
      <w:r w:rsidRPr="00CB1C79">
        <w:t xml:space="preserve"> Crackers, all biscuits, crisp bread, breakfast cereals, oats, pasta, pizza bases.</w:t>
      </w:r>
    </w:p>
    <w:p w14:paraId="161C16D9" w14:textId="77777777" w:rsidR="00874147" w:rsidRPr="00CB1C79" w:rsidRDefault="00874147" w:rsidP="00874147">
      <w:pPr>
        <w:ind w:left="426"/>
      </w:pPr>
    </w:p>
    <w:p w14:paraId="4EA52FA3" w14:textId="77777777" w:rsidR="00874147" w:rsidRPr="00CB1C79" w:rsidRDefault="00874147" w:rsidP="00874147">
      <w:pPr>
        <w:ind w:left="426"/>
      </w:pPr>
      <w:r w:rsidRPr="00CB1C79">
        <w:t>Patients with a confirmed diagnosis of phenylketonuria (PKU) will be allowed to be prescribed low protein food on prescription (which is not freely available at supermarkets).</w:t>
      </w:r>
    </w:p>
    <w:p w14:paraId="322171E2" w14:textId="77777777" w:rsidR="00874147" w:rsidRPr="00CB1C79" w:rsidRDefault="00874147" w:rsidP="00874147">
      <w:pPr>
        <w:ind w:left="426"/>
      </w:pPr>
    </w:p>
    <w:p w14:paraId="481AB3A2" w14:textId="77777777" w:rsidR="00874147" w:rsidRDefault="00874147" w:rsidP="00874147">
      <w:pPr>
        <w:ind w:left="426"/>
      </w:pPr>
      <w:r w:rsidRPr="00CB1C79">
        <w:t>An FAQ document has been produced to answer common questions which can be found here.  For any further queries please contact your local medicines optimisation teams.</w:t>
      </w:r>
    </w:p>
    <w:p w14:paraId="436A2119" w14:textId="77777777" w:rsidR="00874147" w:rsidRDefault="00874147" w:rsidP="00874147">
      <w:pPr>
        <w:ind w:left="426"/>
      </w:pPr>
      <w:r>
        <w:rPr>
          <w:rFonts w:asciiTheme="minorHAnsi" w:hAnsiTheme="minorHAnsi" w:cstheme="minorHAnsi"/>
          <w:sz w:val="24"/>
          <w:szCs w:val="24"/>
        </w:rPr>
        <w:object w:dxaOrig="1534" w:dyaOrig="997" w14:anchorId="4E77E977">
          <v:shape id="_x0000_i1026" type="#_x0000_t75" style="width:76.5pt;height:49.5pt" o:ole="">
            <v:imagedata r:id="rId16" o:title=""/>
          </v:shape>
          <o:OLEObject Type="Embed" ProgID="Word.Document.12" ShapeID="_x0000_i1026" DrawAspect="Icon" ObjectID="_1751467238" r:id="rId17">
            <o:FieldCodes>\s</o:FieldCodes>
          </o:OLEObject>
        </w:object>
      </w:r>
    </w:p>
    <w:p w14:paraId="5135570D" w14:textId="77777777" w:rsidR="00874147" w:rsidRDefault="00874147" w:rsidP="008D1F21">
      <w:pPr>
        <w:ind w:left="426"/>
      </w:pPr>
    </w:p>
    <w:p w14:paraId="160DBB01" w14:textId="3B1B32A6" w:rsidR="004505A2" w:rsidRPr="0001464E" w:rsidRDefault="00CB1C79" w:rsidP="00CB1C79">
      <w:pPr>
        <w:shd w:val="clear" w:color="auto" w:fill="E5DFEC" w:themeFill="accent4" w:themeFillTint="33"/>
        <w:ind w:left="426"/>
        <w:rPr>
          <w:b/>
          <w:bCs/>
        </w:rPr>
      </w:pPr>
      <w:bookmarkStart w:id="1" w:name="Article1"/>
      <w:r w:rsidRPr="0001464E">
        <w:rPr>
          <w:b/>
          <w:bCs/>
        </w:rPr>
        <w:t>EOL</w:t>
      </w:r>
      <w:r w:rsidRPr="00E00056">
        <w:rPr>
          <w:b/>
          <w:bCs/>
        </w:rPr>
        <w:t xml:space="preserve"> (End of Life) medication </w:t>
      </w:r>
    </w:p>
    <w:p w14:paraId="645322BC" w14:textId="77777777" w:rsidR="0025606B" w:rsidRDefault="0025606B" w:rsidP="00341014">
      <w:pPr>
        <w:ind w:left="426"/>
      </w:pPr>
      <w:bookmarkStart w:id="2" w:name="_Hlk136958154"/>
      <w:bookmarkEnd w:id="1"/>
    </w:p>
    <w:bookmarkEnd w:id="2"/>
    <w:p w14:paraId="206B30D3" w14:textId="77777777" w:rsidR="00CB1C79" w:rsidRPr="00CB1C79" w:rsidRDefault="00CB1C79" w:rsidP="00CB1C79">
      <w:pPr>
        <w:ind w:left="426"/>
      </w:pPr>
      <w:r w:rsidRPr="00CB1C79">
        <w:t>Thank you for your ongoing support in prescribing the appropriate EOL (End of Life) medication in advance, especially with the many bank holidays and limited pharmacy opening hours.</w:t>
      </w:r>
    </w:p>
    <w:p w14:paraId="4B3CD443" w14:textId="77777777" w:rsidR="00CB1C79" w:rsidRPr="00CB1C79" w:rsidRDefault="00CB1C79" w:rsidP="00CB1C79">
      <w:pPr>
        <w:ind w:left="426"/>
      </w:pPr>
      <w:r w:rsidRPr="00CB1C79">
        <w:t>Please be aware that three incidents have been highlighted to the ICB team where patients reported to have taken their JIC medications (for administration SC/IM) orally. This seems to have been done due to having increasing pain needs.  Can we please request your help with:</w:t>
      </w:r>
    </w:p>
    <w:p w14:paraId="77A7DE5C" w14:textId="2F96B189" w:rsidR="00CB1C79" w:rsidRPr="00CB1C79" w:rsidRDefault="00CB1C79" w:rsidP="00F10DC3">
      <w:pPr>
        <w:pStyle w:val="ListParagraph"/>
        <w:numPr>
          <w:ilvl w:val="0"/>
          <w:numId w:val="17"/>
        </w:numPr>
      </w:pPr>
      <w:r w:rsidRPr="00CB1C79">
        <w:t>Prescribe any Just In Case Medications (JIC) in advance for all patients likely to need them and more so with the Bank Holidays ahead.</w:t>
      </w:r>
    </w:p>
    <w:p w14:paraId="7E0A6F52" w14:textId="5F3CD120" w:rsidR="00CB1C79" w:rsidRPr="00CB1C79" w:rsidRDefault="00CB1C79" w:rsidP="00F10DC3">
      <w:pPr>
        <w:pStyle w:val="ListParagraph"/>
        <w:numPr>
          <w:ilvl w:val="0"/>
          <w:numId w:val="17"/>
        </w:numPr>
      </w:pPr>
      <w:r w:rsidRPr="00CB1C79">
        <w:lastRenderedPageBreak/>
        <w:t>Prescribe Oral Morphine or Oxycodone (if cannot tolerate Morphine) for all patients prescribed JIC Medications, to enable oral usage where possible with clear explanations to the patient, family and carers.</w:t>
      </w:r>
    </w:p>
    <w:p w14:paraId="715D9F63" w14:textId="4A232AE9" w:rsidR="00CB1C79" w:rsidRPr="00CB1C79" w:rsidRDefault="00CB1C79" w:rsidP="00F10DC3">
      <w:pPr>
        <w:pStyle w:val="ListParagraph"/>
        <w:numPr>
          <w:ilvl w:val="0"/>
          <w:numId w:val="17"/>
        </w:numPr>
      </w:pPr>
      <w:r w:rsidRPr="00CB1C79">
        <w:t>Where injectable medicines are needed please ensure that clear instructions are provided to the patient, their family and or carers in an appropriate format.</w:t>
      </w:r>
    </w:p>
    <w:p w14:paraId="2FB889E2" w14:textId="71886609" w:rsidR="00CB1C79" w:rsidRPr="00CB1C79" w:rsidRDefault="00CB1C79" w:rsidP="00F10DC3">
      <w:pPr>
        <w:pStyle w:val="ListParagraph"/>
        <w:numPr>
          <w:ilvl w:val="0"/>
          <w:numId w:val="17"/>
        </w:numPr>
      </w:pPr>
      <w:r w:rsidRPr="00CB1C79">
        <w:t>Ensure the Community Medication Charts are clearly written to support appropriate administration of the prescribed medications.</w:t>
      </w:r>
    </w:p>
    <w:p w14:paraId="765AFE34" w14:textId="77777777" w:rsidR="004505A2" w:rsidRDefault="004505A2" w:rsidP="0025606B"/>
    <w:p w14:paraId="248C7955" w14:textId="10C18B71" w:rsidR="004505A2" w:rsidRPr="001D6D48" w:rsidRDefault="00CB1C79" w:rsidP="001D6D48">
      <w:pPr>
        <w:shd w:val="clear" w:color="auto" w:fill="E5DFEC" w:themeFill="accent4" w:themeFillTint="33"/>
        <w:ind w:left="426"/>
        <w:rPr>
          <w:b/>
          <w:bCs/>
        </w:rPr>
      </w:pPr>
      <w:bookmarkStart w:id="3" w:name="Article2"/>
      <w:r>
        <w:rPr>
          <w:b/>
          <w:bCs/>
        </w:rPr>
        <w:t xml:space="preserve">Missed Savings Opportunity </w:t>
      </w:r>
    </w:p>
    <w:bookmarkEnd w:id="3"/>
    <w:p w14:paraId="1719C3E7" w14:textId="77777777" w:rsidR="0025606B" w:rsidRDefault="0025606B" w:rsidP="00894140">
      <w:pPr>
        <w:ind w:left="426"/>
      </w:pPr>
    </w:p>
    <w:p w14:paraId="00DD929A" w14:textId="77777777" w:rsidR="00CB1C79" w:rsidRDefault="00CB1C79" w:rsidP="00CB1C79">
      <w:pPr>
        <w:ind w:left="426"/>
      </w:pPr>
      <w:r w:rsidRPr="00CB1C79">
        <w:t xml:space="preserve">The Kent and Medway Optimisation team wants to commend all the practices utilising </w:t>
      </w:r>
      <w:proofErr w:type="spellStart"/>
      <w:r w:rsidRPr="00CB1C79">
        <w:t>Scriptswitch</w:t>
      </w:r>
      <w:proofErr w:type="spellEnd"/>
      <w:r w:rsidRPr="00CB1C79">
        <w:t>. We encourage you to keep engaging with the tool to maximise savings and improve patient outcomes.</w:t>
      </w:r>
    </w:p>
    <w:p w14:paraId="1E1B2BF9" w14:textId="77777777" w:rsidR="00CB1C79" w:rsidRPr="00CB1C79" w:rsidRDefault="00CB1C79" w:rsidP="00CB1C79">
      <w:pPr>
        <w:ind w:left="426"/>
      </w:pPr>
    </w:p>
    <w:p w14:paraId="4F4DBDB7" w14:textId="77777777" w:rsidR="00CB1C79" w:rsidRPr="00CB1C79" w:rsidRDefault="00CB1C79" w:rsidP="00CB1C79">
      <w:pPr>
        <w:ind w:left="426"/>
      </w:pPr>
      <w:r w:rsidRPr="00CB1C79">
        <w:t xml:space="preserve">During a review of the profile, we have noted there are some switches that have a high rejection rate across K&amp;M. The most frequently rejected switch is </w:t>
      </w:r>
      <w:proofErr w:type="spellStart"/>
      <w:r w:rsidRPr="00CB1C79">
        <w:t>Sukkarto</w:t>
      </w:r>
      <w:proofErr w:type="spellEnd"/>
      <w:r w:rsidRPr="00CB1C79">
        <w:t xml:space="preserve"> to generic metformin. </w:t>
      </w:r>
    </w:p>
    <w:p w14:paraId="7473EFEB" w14:textId="77777777" w:rsidR="00CB1C79" w:rsidRDefault="00CB1C79" w:rsidP="00CB1C79">
      <w:pPr>
        <w:ind w:left="426"/>
      </w:pPr>
      <w:r w:rsidRPr="00CB1C79">
        <w:t xml:space="preserve">We appreciate that </w:t>
      </w:r>
      <w:proofErr w:type="spellStart"/>
      <w:r w:rsidRPr="00CB1C79">
        <w:t>Sukkarto</w:t>
      </w:r>
      <w:proofErr w:type="spellEnd"/>
      <w:r w:rsidRPr="00CB1C79">
        <w:t xml:space="preserve"> was the preferred choice for a while; nevertheless, considering recent price fluctuations by adopting this switch, an annual saving of £305,000 could be made. </w:t>
      </w:r>
    </w:p>
    <w:p w14:paraId="317F69E0" w14:textId="77777777" w:rsidR="00CB1C79" w:rsidRPr="00CB1C79" w:rsidRDefault="00CB1C79" w:rsidP="00CB1C79">
      <w:pPr>
        <w:ind w:left="426"/>
      </w:pPr>
    </w:p>
    <w:p w14:paraId="1EC7F8E5" w14:textId="77777777" w:rsidR="00CB1C79" w:rsidRPr="00CB1C79" w:rsidRDefault="00CB1C79" w:rsidP="00CB1C79">
      <w:pPr>
        <w:ind w:left="426"/>
      </w:pPr>
      <w:r w:rsidRPr="00CB1C79">
        <w:t>The medicines optimisation teams are actively switching these items to support practices to achieve these savings. Please continue to use the feedback function to record a clinically valid reason for rejected switches.</w:t>
      </w:r>
    </w:p>
    <w:p w14:paraId="7FDD7E3A" w14:textId="77777777" w:rsidR="004505A2" w:rsidRDefault="004505A2" w:rsidP="0001464E"/>
    <w:p w14:paraId="3737E898" w14:textId="5064D59E" w:rsidR="00BA0BB5" w:rsidRPr="0001464E" w:rsidRDefault="0001464E" w:rsidP="0001464E">
      <w:pPr>
        <w:shd w:val="clear" w:color="auto" w:fill="E5DFEC" w:themeFill="accent4" w:themeFillTint="33"/>
        <w:ind w:left="426"/>
        <w:rPr>
          <w:b/>
          <w:bCs/>
        </w:rPr>
      </w:pPr>
      <w:bookmarkStart w:id="4" w:name="Article4"/>
      <w:bookmarkStart w:id="5" w:name="_Hlk139576914"/>
      <w:bookmarkEnd w:id="4"/>
      <w:r w:rsidRPr="0001464E">
        <w:rPr>
          <w:b/>
          <w:bCs/>
        </w:rPr>
        <w:t>NEWT guidelines subscription renewal</w:t>
      </w:r>
    </w:p>
    <w:bookmarkEnd w:id="5"/>
    <w:p w14:paraId="18AAD8E7" w14:textId="43BABC1D" w:rsidR="004505A2" w:rsidRDefault="004505A2" w:rsidP="00BA0BB5">
      <w:pPr>
        <w:ind w:left="426"/>
      </w:pPr>
    </w:p>
    <w:p w14:paraId="274D2B61" w14:textId="77777777" w:rsidR="0001464E" w:rsidRPr="0001464E" w:rsidRDefault="0001464E" w:rsidP="0001464E">
      <w:pPr>
        <w:ind w:left="426"/>
      </w:pPr>
      <w:r w:rsidRPr="0001464E">
        <w:t>We would like to inform primary care colleagues that the NEWT guidelines subscription has now been renewed until 31</w:t>
      </w:r>
      <w:r w:rsidRPr="0001464E">
        <w:rPr>
          <w:vertAlign w:val="superscript"/>
        </w:rPr>
        <w:t>st</w:t>
      </w:r>
      <w:r w:rsidRPr="0001464E">
        <w:t xml:space="preserve"> March 2024. </w:t>
      </w:r>
    </w:p>
    <w:p w14:paraId="5685F616" w14:textId="77777777" w:rsidR="0001464E" w:rsidRPr="0001464E" w:rsidRDefault="0001464E" w:rsidP="0001464E">
      <w:pPr>
        <w:ind w:left="426"/>
      </w:pPr>
    </w:p>
    <w:p w14:paraId="6C3E9FA1" w14:textId="77777777" w:rsidR="0001464E" w:rsidRPr="0001464E" w:rsidRDefault="0001464E" w:rsidP="0001464E">
      <w:pPr>
        <w:ind w:left="426"/>
      </w:pPr>
      <w:r w:rsidRPr="0001464E">
        <w:t>For the new login details please contact your local medicines optimisation teams.</w:t>
      </w:r>
    </w:p>
    <w:p w14:paraId="3271AC4D" w14:textId="26E12B77" w:rsidR="00BA0BB5" w:rsidRDefault="00BA0BB5" w:rsidP="0001464E"/>
    <w:p w14:paraId="52C9DC60" w14:textId="0BE183A5" w:rsidR="00410504" w:rsidRPr="001D6D48" w:rsidRDefault="00874147" w:rsidP="00410504">
      <w:pPr>
        <w:shd w:val="clear" w:color="auto" w:fill="E5DFEC" w:themeFill="accent4" w:themeFillTint="33"/>
        <w:ind w:left="426"/>
        <w:rPr>
          <w:b/>
          <w:bCs/>
        </w:rPr>
      </w:pPr>
      <w:bookmarkStart w:id="6" w:name="Article5"/>
      <w:bookmarkStart w:id="7" w:name="_Hlk140077224"/>
      <w:bookmarkEnd w:id="6"/>
      <w:r w:rsidRPr="00874147">
        <w:rPr>
          <w:b/>
          <w:bCs/>
        </w:rPr>
        <w:t xml:space="preserve">GLP-1 Receptor Agonist Shortage </w:t>
      </w:r>
      <w:bookmarkEnd w:id="7"/>
      <w:r w:rsidRPr="00874147">
        <w:rPr>
          <w:b/>
          <w:bCs/>
        </w:rPr>
        <w:t>– Review quantity of prescribing</w:t>
      </w:r>
    </w:p>
    <w:p w14:paraId="67088AF4" w14:textId="77777777" w:rsidR="00567800" w:rsidRDefault="00567800" w:rsidP="00567800">
      <w:pPr>
        <w:ind w:left="426"/>
      </w:pPr>
    </w:p>
    <w:p w14:paraId="2A45760D" w14:textId="77777777" w:rsidR="00874147" w:rsidRDefault="00874147" w:rsidP="00874147">
      <w:pPr>
        <w:ind w:left="426"/>
      </w:pPr>
      <w:r w:rsidRPr="00874147">
        <w:t xml:space="preserve">SUPPLY ISSUE: There are currently very limited, intermittent supplies of all glucagon-like peptide-1 receptor agonists (GLP-1 RAs). This is likely to be until at least mid-2024. Please see </w:t>
      </w:r>
      <w:hyperlink r:id="rId18" w:history="1">
        <w:r w:rsidRPr="00874147">
          <w:rPr>
            <w:rStyle w:val="Hyperlink"/>
          </w:rPr>
          <w:t>here</w:t>
        </w:r>
      </w:hyperlink>
      <w:r w:rsidRPr="00874147">
        <w:t xml:space="preserve"> (free SPS subscription required) for further information, actions and advice on alternatives. </w:t>
      </w:r>
    </w:p>
    <w:p w14:paraId="73207A7E" w14:textId="77777777" w:rsidR="00DC52C1" w:rsidRDefault="00DC52C1" w:rsidP="00874147">
      <w:pPr>
        <w:ind w:left="426"/>
      </w:pPr>
    </w:p>
    <w:p w14:paraId="1AF39A36" w14:textId="77777777" w:rsidR="00DC52C1" w:rsidRPr="00DC52C1" w:rsidRDefault="00DC52C1" w:rsidP="00DC52C1">
      <w:pPr>
        <w:ind w:left="426"/>
      </w:pPr>
      <w:r w:rsidRPr="00DC52C1">
        <w:rPr>
          <w:b/>
          <w:bCs/>
        </w:rPr>
        <w:t>Do not</w:t>
      </w:r>
      <w:r w:rsidRPr="00DC52C1">
        <w:t> initiate new patients on GLP-1 RAs until full supplies become available.</w:t>
      </w:r>
    </w:p>
    <w:p w14:paraId="0E6FDB71" w14:textId="77777777" w:rsidR="00DC52C1" w:rsidRDefault="00DC52C1" w:rsidP="00DC52C1">
      <w:pPr>
        <w:ind w:left="426"/>
      </w:pPr>
      <w:r w:rsidRPr="00DC52C1">
        <w:rPr>
          <w:b/>
          <w:bCs/>
        </w:rPr>
        <w:t>Only </w:t>
      </w:r>
      <w:r w:rsidRPr="00DC52C1">
        <w:t>prescribe for licensed indications only </w:t>
      </w:r>
      <w:bookmarkStart w:id="8" w:name="x__Hlk138080824"/>
      <w:r w:rsidRPr="00DC52C1">
        <w:t>-The prescribing of GLP-1 RAs for obesity is </w:t>
      </w:r>
      <w:r w:rsidRPr="00DC52C1">
        <w:rPr>
          <w:b/>
          <w:bCs/>
        </w:rPr>
        <w:t>not</w:t>
      </w:r>
      <w:r w:rsidRPr="00DC52C1">
        <w:t> supported within Kent and Medway ICB</w:t>
      </w:r>
      <w:bookmarkEnd w:id="8"/>
      <w:r w:rsidRPr="00DC52C1">
        <w:t>.</w:t>
      </w:r>
    </w:p>
    <w:p w14:paraId="77CCBE6F" w14:textId="77777777" w:rsidR="00DC52C1" w:rsidRPr="00DC52C1" w:rsidRDefault="00DC52C1" w:rsidP="00DC52C1">
      <w:pPr>
        <w:ind w:left="426"/>
      </w:pPr>
    </w:p>
    <w:p w14:paraId="74423F03" w14:textId="77777777" w:rsidR="00DC52C1" w:rsidRPr="00DC52C1" w:rsidRDefault="00DC52C1" w:rsidP="00DC52C1">
      <w:pPr>
        <w:ind w:left="426"/>
      </w:pPr>
      <w:r w:rsidRPr="00DC52C1">
        <w:rPr>
          <w:b/>
          <w:bCs/>
        </w:rPr>
        <w:t>Prescribe by brand</w:t>
      </w:r>
      <w:r w:rsidRPr="00DC52C1">
        <w:t>, and check quantity prescribed </w:t>
      </w:r>
      <w:r w:rsidRPr="00DC52C1">
        <w:rPr>
          <w:b/>
          <w:bCs/>
        </w:rPr>
        <w:t>(do not prescribe in quantities greater than one month).</w:t>
      </w:r>
    </w:p>
    <w:p w14:paraId="53F453DE" w14:textId="77777777" w:rsidR="00DC52C1" w:rsidRDefault="00DC52C1" w:rsidP="00DC52C1">
      <w:pPr>
        <w:ind w:left="426"/>
      </w:pPr>
      <w:r w:rsidRPr="00DC52C1">
        <w:rPr>
          <w:b/>
          <w:bCs/>
        </w:rPr>
        <w:t>Avoid switching between brands</w:t>
      </w:r>
      <w:r w:rsidRPr="00DC52C1">
        <w:t>, including between injectable and oral forms. Where a higher dose preparation is not available, </w:t>
      </w:r>
      <w:r w:rsidRPr="00DC52C1">
        <w:rPr>
          <w:b/>
          <w:bCs/>
        </w:rPr>
        <w:t>do not substitute by doubling up a lower dose preparation</w:t>
      </w:r>
      <w:r w:rsidRPr="00DC52C1">
        <w:t>.</w:t>
      </w:r>
    </w:p>
    <w:p w14:paraId="5681E2FF" w14:textId="77777777" w:rsidR="00DC52C1" w:rsidRDefault="00DC52C1" w:rsidP="00DC52C1">
      <w:pPr>
        <w:ind w:left="426"/>
      </w:pPr>
    </w:p>
    <w:p w14:paraId="1C998F57" w14:textId="262D87ED" w:rsidR="00DC52C1" w:rsidRPr="00DC52C1" w:rsidRDefault="00DC52C1" w:rsidP="00DC52C1">
      <w:pPr>
        <w:ind w:left="426"/>
      </w:pPr>
      <w:r w:rsidRPr="00DC52C1">
        <w:rPr>
          <w:b/>
          <w:bCs/>
        </w:rPr>
        <w:t>Re</w:t>
      </w:r>
      <w:r>
        <w:rPr>
          <w:b/>
          <w:bCs/>
        </w:rPr>
        <w:t>v</w:t>
      </w:r>
      <w:r w:rsidRPr="00DC52C1">
        <w:rPr>
          <w:b/>
          <w:bCs/>
        </w:rPr>
        <w:t>iew the need for prescribing a GLP-1 RA</w:t>
      </w:r>
      <w:r w:rsidRPr="00DC52C1">
        <w:t> and stop treatment if no longer required due to not achieving desired clinical effect as per </w:t>
      </w:r>
      <w:hyperlink r:id="rId19" w:tgtFrame="_blank" w:tooltip="Original URL: https://www.nice.org.uk/guidance/ng28. Click or tap if you trust this link." w:history="1">
        <w:r w:rsidRPr="00DC52C1">
          <w:rPr>
            <w:rStyle w:val="Hyperlink"/>
          </w:rPr>
          <w:t>NICE CG28</w:t>
        </w:r>
      </w:hyperlink>
      <w:r w:rsidRPr="00DC52C1">
        <w:t>.</w:t>
      </w:r>
    </w:p>
    <w:p w14:paraId="1CF8F36C" w14:textId="380A91D3" w:rsidR="0001464E" w:rsidRDefault="0001464E" w:rsidP="00874147"/>
    <w:p w14:paraId="52A6D39F" w14:textId="77777777" w:rsidR="00874147" w:rsidRDefault="00874147" w:rsidP="002B25E3"/>
    <w:p w14:paraId="721C9A27" w14:textId="57EDA384" w:rsidR="001D6D48" w:rsidRPr="002B25E3" w:rsidRDefault="001D6D48" w:rsidP="002B25E3">
      <w:r w:rsidRPr="00EE1F83">
        <w:rPr>
          <w:rFonts w:ascii="Helvetica" w:hAnsi="Helvetica" w:cs="Helvetica"/>
          <w:noProof/>
          <w:color w:val="202020"/>
          <w:sz w:val="24"/>
          <w:szCs w:val="24"/>
        </w:rPr>
        <w:lastRenderedPageBreak/>
        <mc:AlternateContent>
          <mc:Choice Requires="wps">
            <w:drawing>
              <wp:anchor distT="45720" distB="45720" distL="114300" distR="114300" simplePos="0" relativeHeight="251664384" behindDoc="0" locked="0" layoutInCell="1" allowOverlap="1" wp14:anchorId="333D8C41" wp14:editId="7FC125A8">
                <wp:simplePos x="0" y="0"/>
                <wp:positionH relativeFrom="column">
                  <wp:posOffset>0</wp:posOffset>
                </wp:positionH>
                <wp:positionV relativeFrom="paragraph">
                  <wp:posOffset>241935</wp:posOffset>
                </wp:positionV>
                <wp:extent cx="6743700" cy="3143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14325"/>
                        </a:xfrm>
                        <a:prstGeom prst="rect">
                          <a:avLst/>
                        </a:prstGeom>
                        <a:solidFill>
                          <a:srgbClr val="7030A0"/>
                        </a:solidFill>
                        <a:ln w="9525">
                          <a:solidFill>
                            <a:srgbClr val="7030A0"/>
                          </a:solidFill>
                          <a:miter lim="800000"/>
                          <a:headEnd/>
                          <a:tailEnd/>
                        </a:ln>
                      </wps:spPr>
                      <wps:txbx>
                        <w:txbxContent>
                          <w:p w14:paraId="71B438DE" w14:textId="6BD7DB6E" w:rsidR="004505A2" w:rsidRPr="00E4129D" w:rsidRDefault="004505A2" w:rsidP="004505A2">
                            <w:pPr>
                              <w:rPr>
                                <w:b/>
                                <w:bCs/>
                                <w:color w:val="FFFFFF" w:themeColor="background1"/>
                                <w:sz w:val="32"/>
                                <w:szCs w:val="32"/>
                              </w:rPr>
                            </w:pPr>
                            <w:r w:rsidRPr="00E4129D">
                              <w:rPr>
                                <w:b/>
                                <w:bCs/>
                                <w:color w:val="FFFFFF" w:themeColor="background1"/>
                                <w:sz w:val="32"/>
                                <w:szCs w:val="32"/>
                              </w:rPr>
                              <w:t>National Updates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D8C41" id="_x0000_s1028" type="#_x0000_t202" style="position:absolute;margin-left:0;margin-top:19.05pt;width:531pt;height:2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" fillcolor="#7030a0" strokecolor="#7030a0">
                <v:textbox>
                  <w:txbxContent>
                    <w:p w14:paraId="71B438DE" w14:textId="6BD7DB6E" w:rsidR="004505A2" w:rsidRPr="00E4129D" w:rsidRDefault="004505A2" w:rsidP="004505A2">
                      <w:pPr>
                        <w:rPr>
                          <w:b/>
                          <w:bCs/>
                          <w:color w:val="FFFFFF" w:themeColor="background1"/>
                          <w:sz w:val="32"/>
                          <w:szCs w:val="32"/>
                        </w:rPr>
                      </w:pPr>
                      <w:r w:rsidRPr="00E4129D">
                        <w:rPr>
                          <w:b/>
                          <w:bCs/>
                          <w:color w:val="FFFFFF" w:themeColor="background1"/>
                          <w:sz w:val="32"/>
                          <w:szCs w:val="32"/>
                        </w:rPr>
                        <w:t>National Updates</w:t>
                      </w:r>
                    </w:p>
                  </w:txbxContent>
                </v:textbox>
                <w10:wrap type="square"/>
              </v:shape>
            </w:pict>
          </mc:Fallback>
        </mc:AlternateContent>
      </w:r>
    </w:p>
    <w:p w14:paraId="49C62E2D" w14:textId="7F723E4B" w:rsidR="0012769B" w:rsidRPr="001D6D48" w:rsidRDefault="00B479DF" w:rsidP="00B479DF">
      <w:pPr>
        <w:shd w:val="clear" w:color="auto" w:fill="E5DFEC" w:themeFill="accent4" w:themeFillTint="33"/>
        <w:ind w:left="426"/>
        <w:rPr>
          <w:b/>
          <w:bCs/>
        </w:rPr>
      </w:pPr>
      <w:bookmarkStart w:id="9" w:name="Article11"/>
      <w:bookmarkEnd w:id="9"/>
      <w:r w:rsidRPr="00B479DF">
        <w:rPr>
          <w:b/>
          <w:bCs/>
        </w:rPr>
        <w:t xml:space="preserve">Class 3 Medicines Recall: </w:t>
      </w:r>
      <w:proofErr w:type="spellStart"/>
      <w:r w:rsidRPr="00B479DF">
        <w:rPr>
          <w:b/>
          <w:bCs/>
        </w:rPr>
        <w:t>Strandhaven</w:t>
      </w:r>
      <w:proofErr w:type="spellEnd"/>
      <w:r w:rsidRPr="00B479DF">
        <w:rPr>
          <w:b/>
          <w:bCs/>
        </w:rPr>
        <w:t xml:space="preserve"> Limited T/A </w:t>
      </w:r>
      <w:proofErr w:type="spellStart"/>
      <w:r w:rsidRPr="00B479DF">
        <w:rPr>
          <w:b/>
          <w:bCs/>
        </w:rPr>
        <w:t>Somex</w:t>
      </w:r>
      <w:proofErr w:type="spellEnd"/>
      <w:r w:rsidRPr="00B479DF">
        <w:rPr>
          <w:b/>
          <w:bCs/>
        </w:rPr>
        <w:t xml:space="preserve"> Pharma, Sildenafil 100mg Film-coated Tablets, EL(23)A/21</w:t>
      </w:r>
    </w:p>
    <w:p w14:paraId="5822F1F3" w14:textId="77777777" w:rsidR="002B25E3" w:rsidRDefault="002B25E3" w:rsidP="002B25E3">
      <w:pPr>
        <w:shd w:val="clear" w:color="auto" w:fill="FFFFFF" w:themeFill="background1"/>
        <w:ind w:left="426"/>
        <w:rPr>
          <w:b/>
          <w:bCs/>
        </w:rPr>
      </w:pPr>
    </w:p>
    <w:p w14:paraId="4A47DC3D" w14:textId="4FEE34E4" w:rsidR="00B13EBE" w:rsidRPr="00B13EBE" w:rsidRDefault="00DC52C1" w:rsidP="00B13EBE">
      <w:pPr>
        <w:shd w:val="clear" w:color="auto" w:fill="FFFFFF" w:themeFill="background1"/>
        <w:ind w:left="426"/>
      </w:pPr>
      <w:hyperlink r:id="rId20" w:history="1">
        <w:r w:rsidR="00B13EBE" w:rsidRPr="00B13EBE">
          <w:rPr>
            <w:rStyle w:val="Hyperlink"/>
          </w:rPr>
          <w:t>Class 3 Medicines Recall: Strandhaven Limited T/A Somex Pharma, Sildenafil 100mg Film-coated Tablets, EL(23)A/21 - GOV.UK (www.gov.uk)</w:t>
        </w:r>
      </w:hyperlink>
    </w:p>
    <w:p w14:paraId="20BDD427" w14:textId="4D49D1A9" w:rsidR="0012769B" w:rsidRPr="0012769B" w:rsidRDefault="0012769B" w:rsidP="00B13EBE">
      <w:pPr>
        <w:shd w:val="clear" w:color="auto" w:fill="FFFFFF" w:themeFill="background1"/>
      </w:pPr>
    </w:p>
    <w:p w14:paraId="64A3CAB9" w14:textId="77777777" w:rsidR="0012769B" w:rsidRDefault="0012769B" w:rsidP="002B25E3">
      <w:pPr>
        <w:shd w:val="clear" w:color="auto" w:fill="FFFFFF" w:themeFill="background1"/>
        <w:ind w:left="426"/>
        <w:rPr>
          <w:b/>
          <w:bCs/>
        </w:rPr>
      </w:pPr>
    </w:p>
    <w:p w14:paraId="0D8A1B33" w14:textId="44006354" w:rsidR="001D6D48" w:rsidRPr="001D6D48" w:rsidRDefault="00B13EBE" w:rsidP="00B13EBE">
      <w:pPr>
        <w:shd w:val="clear" w:color="auto" w:fill="E5DFEC" w:themeFill="accent4" w:themeFillTint="33"/>
        <w:ind w:left="426"/>
        <w:rPr>
          <w:b/>
          <w:bCs/>
        </w:rPr>
      </w:pPr>
      <w:bookmarkStart w:id="10" w:name="Article6"/>
      <w:bookmarkStart w:id="11" w:name="_Hlk138256528"/>
      <w:bookmarkEnd w:id="10"/>
      <w:r w:rsidRPr="00B13EBE">
        <w:rPr>
          <w:b/>
          <w:bCs/>
        </w:rPr>
        <w:t xml:space="preserve">Class 2 Medicines Recall: </w:t>
      </w:r>
      <w:proofErr w:type="spellStart"/>
      <w:r w:rsidRPr="00B13EBE">
        <w:rPr>
          <w:b/>
          <w:bCs/>
        </w:rPr>
        <w:t>medac</w:t>
      </w:r>
      <w:proofErr w:type="spellEnd"/>
      <w:r w:rsidRPr="00B13EBE">
        <w:rPr>
          <w:b/>
          <w:bCs/>
        </w:rPr>
        <w:t xml:space="preserve"> GmbH (t/a </w:t>
      </w:r>
      <w:proofErr w:type="spellStart"/>
      <w:r w:rsidRPr="00B13EBE">
        <w:rPr>
          <w:b/>
          <w:bCs/>
        </w:rPr>
        <w:t>medac</w:t>
      </w:r>
      <w:proofErr w:type="spellEnd"/>
      <w:r w:rsidRPr="00B13EBE">
        <w:rPr>
          <w:b/>
          <w:bCs/>
        </w:rPr>
        <w:t xml:space="preserve"> Pharma LLP), Dacarbazine 100mg, 200mg &amp; 500mg powder for solution for injection vials, EL(23)A/22</w:t>
      </w:r>
    </w:p>
    <w:p w14:paraId="2E4DD1DA" w14:textId="77777777" w:rsidR="0025606B" w:rsidRDefault="0025606B" w:rsidP="00183DAC">
      <w:pPr>
        <w:ind w:left="426"/>
      </w:pPr>
      <w:bookmarkStart w:id="12" w:name="_Hlk136965691"/>
      <w:bookmarkStart w:id="13" w:name="_Hlk136965529"/>
      <w:bookmarkEnd w:id="11"/>
    </w:p>
    <w:bookmarkEnd w:id="12"/>
    <w:bookmarkEnd w:id="13"/>
    <w:p w14:paraId="60717777" w14:textId="19F61476" w:rsidR="00DC52C1" w:rsidRDefault="00DC52C1" w:rsidP="00B13EBE">
      <w:pPr>
        <w:ind w:left="426"/>
      </w:pPr>
      <w:r w:rsidRPr="00DC52C1">
        <w:fldChar w:fldCharType="begin"/>
      </w:r>
      <w:r w:rsidRPr="00DC52C1">
        <w:instrText xml:space="preserve"> HYPERLINK "https://www.gov.uk/drug-device-alerts/class-2-medicines-recall-medac-gmbh-t-slash-a-medac-pharma-llp-dacarbazine-100mg-200mg-and-500mg-powder-for-solution-for-injection-vials-el-23-a-slash-22" </w:instrText>
      </w:r>
      <w:r w:rsidRPr="00DC52C1">
        <w:fldChar w:fldCharType="separate"/>
      </w:r>
      <w:r w:rsidRPr="00DC52C1">
        <w:rPr>
          <w:rStyle w:val="Hyperlink"/>
        </w:rPr>
        <w:t>Class 2 Medicines Recall: medac GmbH (t/a medac Pharma LLP), Dacarbazine 100mg, 200mg &amp; 500mg powder for solution for injection vials, EL(23)A/22 - GOV.UK (www.gov.uk)</w:t>
      </w:r>
      <w:r w:rsidRPr="00DC52C1">
        <w:fldChar w:fldCharType="end"/>
      </w:r>
    </w:p>
    <w:p w14:paraId="06422330" w14:textId="0D295EE5" w:rsidR="001D6D48" w:rsidRDefault="001D6D48" w:rsidP="00DC52C1"/>
    <w:p w14:paraId="125C5F78" w14:textId="77777777" w:rsidR="001D6D48" w:rsidRDefault="001D6D48" w:rsidP="001D6D48">
      <w:pPr>
        <w:ind w:left="426"/>
      </w:pPr>
    </w:p>
    <w:p w14:paraId="7CC747E8" w14:textId="6651CA2C" w:rsidR="001D6D48" w:rsidRPr="001D6D48" w:rsidRDefault="00E855D2" w:rsidP="001D6D48">
      <w:pPr>
        <w:shd w:val="clear" w:color="auto" w:fill="E5DFEC" w:themeFill="accent4" w:themeFillTint="33"/>
        <w:ind w:left="426"/>
        <w:rPr>
          <w:b/>
          <w:bCs/>
        </w:rPr>
      </w:pPr>
      <w:bookmarkStart w:id="14" w:name="Article8"/>
      <w:bookmarkEnd w:id="14"/>
      <w:r>
        <w:rPr>
          <w:b/>
          <w:bCs/>
        </w:rPr>
        <w:t>MHRA Drug Safety Update</w:t>
      </w:r>
      <w:r w:rsidR="00C90FA4">
        <w:rPr>
          <w:b/>
          <w:bCs/>
        </w:rPr>
        <w:t xml:space="preserve"> </w:t>
      </w:r>
      <w:r w:rsidR="00B13EBE">
        <w:rPr>
          <w:b/>
          <w:bCs/>
        </w:rPr>
        <w:t>June</w:t>
      </w:r>
      <w:r w:rsidR="00C90FA4">
        <w:rPr>
          <w:b/>
          <w:bCs/>
        </w:rPr>
        <w:t xml:space="preserve"> 2023</w:t>
      </w:r>
    </w:p>
    <w:p w14:paraId="37D38E6A" w14:textId="77777777" w:rsidR="00B13EBE" w:rsidRDefault="00B13EBE" w:rsidP="00B13EBE">
      <w:pPr>
        <w:ind w:left="426"/>
      </w:pPr>
    </w:p>
    <w:p w14:paraId="4B26BBE2" w14:textId="1DBB5C60" w:rsidR="00B13EBE" w:rsidRPr="00B13EBE" w:rsidRDefault="00B13EBE" w:rsidP="00B13EBE">
      <w:pPr>
        <w:ind w:left="426"/>
      </w:pPr>
      <w:r w:rsidRPr="00B13EBE">
        <w:t xml:space="preserve">The latest MHRA Drug Safety Updates can be accessed at </w:t>
      </w:r>
      <w:hyperlink r:id="rId21" w:history="1">
        <w:r w:rsidRPr="00B13EBE">
          <w:rPr>
            <w:rStyle w:val="Hyperlink"/>
          </w:rPr>
          <w:t>Drug Safety Update - GOV.UK (www.gov.uk)</w:t>
        </w:r>
      </w:hyperlink>
      <w:r w:rsidRPr="00B13EBE">
        <w:t xml:space="preserve"> . This includes links to alerts, recalls and safety information and to the monthly Drug Safety Update PDF newsletter. </w:t>
      </w:r>
    </w:p>
    <w:p w14:paraId="2802B52E" w14:textId="77777777" w:rsidR="00B13EBE" w:rsidRPr="00B13EBE" w:rsidRDefault="00B13EBE" w:rsidP="00B13EBE">
      <w:pPr>
        <w:ind w:left="426"/>
        <w:rPr>
          <w:b/>
          <w:bCs/>
        </w:rPr>
      </w:pPr>
      <w:r w:rsidRPr="00B13EBE">
        <w:rPr>
          <w:b/>
          <w:bCs/>
        </w:rPr>
        <w:t>The June 2023 Drug Safety Update includes:</w:t>
      </w:r>
    </w:p>
    <w:p w14:paraId="0AED64A7" w14:textId="77777777" w:rsidR="00B13EBE" w:rsidRPr="00B13EBE" w:rsidRDefault="00DC52C1" w:rsidP="00B13EBE">
      <w:pPr>
        <w:ind w:left="426"/>
        <w:rPr>
          <w:b/>
          <w:bCs/>
        </w:rPr>
      </w:pPr>
      <w:hyperlink r:id="rId22" w:history="1">
        <w:r w:rsidR="00B13EBE" w:rsidRPr="00B13EBE">
          <w:rPr>
            <w:rStyle w:val="Hyperlink"/>
            <w:b/>
            <w:bCs/>
          </w:rPr>
          <w:t>Adrenaline auto-injectors (AAIs): new guidance and resources for safe use - GOV.UK (www.gov.uk)</w:t>
        </w:r>
      </w:hyperlink>
    </w:p>
    <w:p w14:paraId="503B2452" w14:textId="77777777" w:rsidR="00B13EBE" w:rsidRPr="00B13EBE" w:rsidRDefault="00B13EBE" w:rsidP="00B13EBE">
      <w:pPr>
        <w:ind w:left="426"/>
        <w:rPr>
          <w:b/>
          <w:bCs/>
        </w:rPr>
      </w:pPr>
      <w:r w:rsidRPr="00B13EBE">
        <w:rPr>
          <w:b/>
          <w:bCs/>
        </w:rPr>
        <w:t>The MHRA have produced resources to ensure that all patients are provided with the correct advice on how to treat an allergic emergency. Please see the full update by following the link in the title above.</w:t>
      </w:r>
    </w:p>
    <w:p w14:paraId="07ED4CD6" w14:textId="77777777" w:rsidR="00B13EBE" w:rsidRPr="00B13EBE" w:rsidRDefault="00B13EBE" w:rsidP="00B13EBE">
      <w:pPr>
        <w:ind w:left="426"/>
        <w:rPr>
          <w:b/>
          <w:bCs/>
        </w:rPr>
      </w:pPr>
      <w:r w:rsidRPr="00B13EBE">
        <w:rPr>
          <w:b/>
          <w:bCs/>
        </w:rPr>
        <w:t>Suggested action for GP practices:</w:t>
      </w:r>
    </w:p>
    <w:p w14:paraId="35A96890" w14:textId="77777777" w:rsidR="00B13EBE" w:rsidRPr="00B13EBE" w:rsidRDefault="00B13EBE" w:rsidP="00B13EBE">
      <w:pPr>
        <w:ind w:left="426"/>
      </w:pPr>
      <w:r w:rsidRPr="00B13EBE">
        <w:t xml:space="preserve">Please audit all patients that have had an AAI in the last 2 years and provide them with an </w:t>
      </w:r>
      <w:proofErr w:type="spellStart"/>
      <w:r w:rsidRPr="00B13EBE">
        <w:t>AccuRx</w:t>
      </w:r>
      <w:proofErr w:type="spellEnd"/>
      <w:r w:rsidRPr="00B13EBE">
        <w:t xml:space="preserve"> message that reads ““It is important you know how to treat an allergic emergency. Please watch the video link for most recent guidance </w:t>
      </w:r>
      <w:hyperlink r:id="rId23" w:history="1">
        <w:r w:rsidRPr="00B13EBE">
          <w:rPr>
            <w:rStyle w:val="Hyperlink"/>
          </w:rPr>
          <w:t>https://youtu.be/4vNR5N1-iBw</w:t>
        </w:r>
      </w:hyperlink>
      <w:r w:rsidRPr="00B13EBE">
        <w:t>”</w:t>
      </w:r>
    </w:p>
    <w:p w14:paraId="3F1D2658" w14:textId="77777777" w:rsidR="00B13EBE" w:rsidRPr="00B13EBE" w:rsidRDefault="00B13EBE" w:rsidP="00B13EBE">
      <w:pPr>
        <w:ind w:left="426"/>
        <w:rPr>
          <w:b/>
          <w:bCs/>
        </w:rPr>
      </w:pPr>
      <w:r w:rsidRPr="00B13EBE">
        <w:rPr>
          <w:b/>
          <w:bCs/>
        </w:rPr>
        <w:t>Please ensure:</w:t>
      </w:r>
    </w:p>
    <w:p w14:paraId="5C54C320" w14:textId="77777777" w:rsidR="00B13EBE" w:rsidRPr="00B13EBE" w:rsidRDefault="00B13EBE" w:rsidP="00B13EBE">
      <w:pPr>
        <w:numPr>
          <w:ilvl w:val="0"/>
          <w:numId w:val="8"/>
        </w:numPr>
      </w:pPr>
      <w:r w:rsidRPr="00B13EBE">
        <w:t>All patients are prescribed 2 Adrenaline Autoinjectors (AAI) at a time.</w:t>
      </w:r>
    </w:p>
    <w:p w14:paraId="3ACE9591" w14:textId="77777777" w:rsidR="00B13EBE" w:rsidRPr="00B13EBE" w:rsidRDefault="00B13EBE" w:rsidP="00B13EBE">
      <w:pPr>
        <w:numPr>
          <w:ilvl w:val="0"/>
          <w:numId w:val="8"/>
        </w:numPr>
      </w:pPr>
      <w:r w:rsidRPr="00B13EBE">
        <w:t xml:space="preserve">When initiating an AAI ensure the patient is provided with the video resource </w:t>
      </w:r>
      <w:hyperlink r:id="rId24" w:history="1">
        <w:r w:rsidRPr="00B13EBE">
          <w:rPr>
            <w:rStyle w:val="Hyperlink"/>
          </w:rPr>
          <w:t>https://youtu.be/4vNR5N1-iBw</w:t>
        </w:r>
      </w:hyperlink>
      <w:r w:rsidRPr="00B13EBE">
        <w:t xml:space="preserve"> </w:t>
      </w:r>
    </w:p>
    <w:p w14:paraId="224CA795" w14:textId="77777777" w:rsidR="00B13EBE" w:rsidRPr="00B13EBE" w:rsidRDefault="00B13EBE" w:rsidP="00B13EBE">
      <w:pPr>
        <w:numPr>
          <w:ilvl w:val="0"/>
          <w:numId w:val="8"/>
        </w:numPr>
      </w:pPr>
      <w:r w:rsidRPr="00B13EBE">
        <w:t>Provide the following advice to patients and carers:</w:t>
      </w:r>
    </w:p>
    <w:p w14:paraId="71C5B2AD" w14:textId="77777777" w:rsidR="00B13EBE" w:rsidRPr="00B13EBE" w:rsidRDefault="00B13EBE" w:rsidP="00B13EBE">
      <w:pPr>
        <w:numPr>
          <w:ilvl w:val="1"/>
          <w:numId w:val="8"/>
        </w:numPr>
      </w:pPr>
      <w:r w:rsidRPr="00B13EBE">
        <w:t>adrenaline auto-injectors (AAIs) should be used without delay if anaphylaxis is suspected, even if in doubt about the severity of the event</w:t>
      </w:r>
    </w:p>
    <w:p w14:paraId="486495DA" w14:textId="77777777" w:rsidR="00B13EBE" w:rsidRPr="00B13EBE" w:rsidRDefault="00B13EBE" w:rsidP="00B13EBE">
      <w:pPr>
        <w:numPr>
          <w:ilvl w:val="1"/>
          <w:numId w:val="8"/>
        </w:numPr>
      </w:pPr>
      <w:r w:rsidRPr="00B13EBE">
        <w:t>signs may include swelling in the throat or tongue, wheezing or breathing difficulty, dizziness, tiredness and confusion</w:t>
      </w:r>
    </w:p>
    <w:p w14:paraId="55D5A18A" w14:textId="77777777" w:rsidR="00B13EBE" w:rsidRPr="00B13EBE" w:rsidRDefault="00B13EBE" w:rsidP="00B13EBE">
      <w:pPr>
        <w:numPr>
          <w:ilvl w:val="1"/>
          <w:numId w:val="8"/>
        </w:numPr>
      </w:pPr>
      <w:r w:rsidRPr="00B13EBE">
        <w:t>immediately dial 999 to summon emergency medical help after administering adrenaline; say anaphylaxis (“ana-fill-axis”)</w:t>
      </w:r>
    </w:p>
    <w:p w14:paraId="7FA300B3" w14:textId="77777777" w:rsidR="00B13EBE" w:rsidRPr="00B13EBE" w:rsidRDefault="00B13EBE" w:rsidP="00B13EBE">
      <w:pPr>
        <w:numPr>
          <w:ilvl w:val="1"/>
          <w:numId w:val="8"/>
        </w:numPr>
      </w:pPr>
      <w:r w:rsidRPr="00B13EBE">
        <w:t>if you are not already lying down, lie down flat and raise your legs (if you’re pregnant, lie on your left side); this will assist blood flow to the heart and vital organs</w:t>
      </w:r>
    </w:p>
    <w:p w14:paraId="2B5EBD81" w14:textId="77777777" w:rsidR="00B13EBE" w:rsidRPr="00B13EBE" w:rsidRDefault="00B13EBE" w:rsidP="00B13EBE">
      <w:pPr>
        <w:numPr>
          <w:ilvl w:val="1"/>
          <w:numId w:val="8"/>
        </w:numPr>
      </w:pPr>
      <w:r w:rsidRPr="00B13EBE">
        <w:t>stay lying down even if you feel better</w:t>
      </w:r>
    </w:p>
    <w:p w14:paraId="6C98B5AF" w14:textId="77777777" w:rsidR="00B13EBE" w:rsidRPr="00B13EBE" w:rsidRDefault="00B13EBE" w:rsidP="00B13EBE">
      <w:pPr>
        <w:numPr>
          <w:ilvl w:val="1"/>
          <w:numId w:val="8"/>
        </w:numPr>
      </w:pPr>
      <w:r w:rsidRPr="00B13EBE">
        <w:t>if you struggle to breathe, you can gently sit up - don’t change position suddenly; you should then lie down again as soon as you can</w:t>
      </w:r>
    </w:p>
    <w:p w14:paraId="397EE0C7" w14:textId="77777777" w:rsidR="00B13EBE" w:rsidRPr="00B13EBE" w:rsidRDefault="00B13EBE" w:rsidP="00B13EBE">
      <w:pPr>
        <w:numPr>
          <w:ilvl w:val="1"/>
          <w:numId w:val="8"/>
        </w:numPr>
      </w:pPr>
      <w:r w:rsidRPr="00B13EBE">
        <w:t>do not stand up even if someone encourages you to</w:t>
      </w:r>
    </w:p>
    <w:p w14:paraId="538202D7" w14:textId="77777777" w:rsidR="00B13EBE" w:rsidRPr="00B13EBE" w:rsidRDefault="00B13EBE" w:rsidP="00B13EBE">
      <w:pPr>
        <w:numPr>
          <w:ilvl w:val="1"/>
          <w:numId w:val="8"/>
        </w:numPr>
      </w:pPr>
      <w:r w:rsidRPr="00B13EBE">
        <w:t>use your second AAI if you haven’t improved after 5 minutes</w:t>
      </w:r>
    </w:p>
    <w:p w14:paraId="3DB3D60F" w14:textId="77777777" w:rsidR="00B13EBE" w:rsidRPr="00B13EBE" w:rsidRDefault="00B13EBE" w:rsidP="00B13EBE">
      <w:pPr>
        <w:numPr>
          <w:ilvl w:val="1"/>
          <w:numId w:val="8"/>
        </w:numPr>
      </w:pPr>
      <w:r w:rsidRPr="00B13EBE">
        <w:t>you should always carry 2 AAIs at all times; check the expiry dates and see a pharmacist if you need a replacement</w:t>
      </w:r>
    </w:p>
    <w:p w14:paraId="3727E321" w14:textId="77777777" w:rsidR="00B13EBE" w:rsidRPr="00B13EBE" w:rsidRDefault="00B13EBE" w:rsidP="00B13EBE">
      <w:pPr>
        <w:numPr>
          <w:ilvl w:val="1"/>
          <w:numId w:val="8"/>
        </w:numPr>
      </w:pPr>
      <w:r w:rsidRPr="00B13EBE">
        <w:lastRenderedPageBreak/>
        <w:t>report any suspected defective AAIs to the Yellow Card scheme. Keep defective AAIs for investigation. Your report improves the safety of medicines and medical devices</w:t>
      </w:r>
    </w:p>
    <w:p w14:paraId="10412F20" w14:textId="77777777" w:rsidR="00B13EBE" w:rsidRPr="00B13EBE" w:rsidRDefault="00DC52C1" w:rsidP="00B13EBE">
      <w:pPr>
        <w:ind w:left="426"/>
        <w:rPr>
          <w:b/>
          <w:bCs/>
        </w:rPr>
      </w:pPr>
      <w:hyperlink r:id="rId25" w:history="1">
        <w:r w:rsidR="00B13EBE" w:rsidRPr="00B13EBE">
          <w:rPr>
            <w:rStyle w:val="Hyperlink"/>
            <w:b/>
            <w:bCs/>
          </w:rPr>
          <w:t>Non-steroidal anti-inflammatory drugs (NSAIDs): potential risks following prolonged use after 20 weeks of pregnancy - GOV.UK (www.gov.uk)</w:t>
        </w:r>
      </w:hyperlink>
    </w:p>
    <w:p w14:paraId="2FB992B4" w14:textId="77777777" w:rsidR="00B13EBE" w:rsidRPr="00B13EBE" w:rsidRDefault="00B13EBE" w:rsidP="00B13EBE">
      <w:pPr>
        <w:ind w:left="426"/>
        <w:rPr>
          <w:b/>
          <w:bCs/>
        </w:rPr>
      </w:pPr>
      <w:r w:rsidRPr="00B13EBE">
        <w:rPr>
          <w:b/>
          <w:bCs/>
        </w:rPr>
        <w:t>The MHRA update gives the following advice for healthcare professionals:</w:t>
      </w:r>
    </w:p>
    <w:p w14:paraId="7D3DC014" w14:textId="77777777" w:rsidR="00B13EBE" w:rsidRPr="00B13EBE" w:rsidRDefault="00B13EBE" w:rsidP="00B13EBE">
      <w:pPr>
        <w:numPr>
          <w:ilvl w:val="0"/>
          <w:numId w:val="9"/>
        </w:numPr>
      </w:pPr>
      <w:r w:rsidRPr="00B13EBE">
        <w:t xml:space="preserve">we remind healthcare professionals that systemic (oral and injectable) NSAIDs are contraindicated during the last trimester (after 28 weeks) of pregnancy due to the risk of premature closure of the ductus arteriosus and renal dysfunction in the </w:t>
      </w:r>
      <w:proofErr w:type="spellStart"/>
      <w:r w:rsidRPr="00B13EBE">
        <w:t>fetus</w:t>
      </w:r>
      <w:proofErr w:type="spellEnd"/>
      <w:r w:rsidRPr="00B13EBE">
        <w:t xml:space="preserve"> and due to prolongation of maternal bleeding time and inhibition of uterine contractions during labour</w:t>
      </w:r>
    </w:p>
    <w:p w14:paraId="44FEC46A" w14:textId="77777777" w:rsidR="00B13EBE" w:rsidRPr="00B13EBE" w:rsidRDefault="00B13EBE" w:rsidP="00B13EBE">
      <w:pPr>
        <w:numPr>
          <w:ilvl w:val="0"/>
          <w:numId w:val="9"/>
        </w:numPr>
      </w:pPr>
      <w:r w:rsidRPr="00B13EBE">
        <w:t>a review of data from </w:t>
      </w:r>
      <w:hyperlink r:id="rId26" w:history="1">
        <w:r w:rsidRPr="00B13EBE">
          <w:rPr>
            <w:rStyle w:val="Hyperlink"/>
          </w:rPr>
          <w:t>a 2022 study</w:t>
        </w:r>
      </w:hyperlink>
      <w:r w:rsidRPr="00B13EBE">
        <w:t> has identified that prolonged use of NSAIDs from week 20 of pregnancy onwards may be associated with an increased risk of:</w:t>
      </w:r>
    </w:p>
    <w:p w14:paraId="7CC1E7CD" w14:textId="77777777" w:rsidR="00B13EBE" w:rsidRPr="00B13EBE" w:rsidRDefault="00B13EBE" w:rsidP="00B13EBE">
      <w:pPr>
        <w:numPr>
          <w:ilvl w:val="1"/>
          <w:numId w:val="9"/>
        </w:numPr>
      </w:pPr>
      <w:r w:rsidRPr="00B13EBE">
        <w:t xml:space="preserve">oligohydramnios resulting from </w:t>
      </w:r>
      <w:proofErr w:type="spellStart"/>
      <w:r w:rsidRPr="00B13EBE">
        <w:t>fetal</w:t>
      </w:r>
      <w:proofErr w:type="spellEnd"/>
      <w:r w:rsidRPr="00B13EBE">
        <w:t xml:space="preserve"> renal dysfunction; this may occur shortly after initiation, although it is usually reversible upon discontinuation.</w:t>
      </w:r>
    </w:p>
    <w:p w14:paraId="35E6A6BF" w14:textId="77777777" w:rsidR="00B13EBE" w:rsidRPr="00B13EBE" w:rsidRDefault="00B13EBE" w:rsidP="00B13EBE">
      <w:pPr>
        <w:numPr>
          <w:ilvl w:val="1"/>
          <w:numId w:val="9"/>
        </w:numPr>
      </w:pPr>
      <w:r w:rsidRPr="00B13EBE">
        <w:t>cases of constriction of the ductus arteriosus, most of which resolved after treatment cessation</w:t>
      </w:r>
    </w:p>
    <w:p w14:paraId="6C97D037" w14:textId="77777777" w:rsidR="00B13EBE" w:rsidRPr="00B13EBE" w:rsidRDefault="00B13EBE" w:rsidP="00B13EBE">
      <w:pPr>
        <w:numPr>
          <w:ilvl w:val="0"/>
          <w:numId w:val="9"/>
        </w:numPr>
      </w:pPr>
      <w:r w:rsidRPr="00B13EBE">
        <w:t>avoid prescribing systemic NSAIDs from week 20 of pregnancy unless clinically required and prescribe the lowest dose for the shortest time in these circumstances</w:t>
      </w:r>
    </w:p>
    <w:p w14:paraId="171BBE3A" w14:textId="77777777" w:rsidR="00B13EBE" w:rsidRPr="00B13EBE" w:rsidRDefault="00B13EBE" w:rsidP="00B13EBE">
      <w:pPr>
        <w:numPr>
          <w:ilvl w:val="0"/>
          <w:numId w:val="9"/>
        </w:numPr>
      </w:pPr>
      <w:r w:rsidRPr="00B13EBE">
        <w:t>antenatal monitoring for oligohydramnios should be considered if the mother has been exposed to NSAIDs for several days after week 20 of pregnancy; the NSAID should be discontinued if oligohydramnios is found or if the NSAID is no longer considered to be clinically necessary</w:t>
      </w:r>
    </w:p>
    <w:p w14:paraId="1E5D6E72" w14:textId="77777777" w:rsidR="00B13EBE" w:rsidRPr="00B13EBE" w:rsidRDefault="00B13EBE" w:rsidP="00B13EBE">
      <w:pPr>
        <w:numPr>
          <w:ilvl w:val="0"/>
          <w:numId w:val="9"/>
        </w:numPr>
      </w:pPr>
      <w:r w:rsidRPr="00B13EBE">
        <w:t>please advise patients who are pregnant to avoid use of NSAIDs available without prescription from week 20 of pregnancy onwards unless advised by their healthcare professional</w:t>
      </w:r>
    </w:p>
    <w:p w14:paraId="0162C7CF" w14:textId="77777777" w:rsidR="00B13EBE" w:rsidRPr="00B13EBE" w:rsidRDefault="00B13EBE" w:rsidP="00B13EBE">
      <w:pPr>
        <w:numPr>
          <w:ilvl w:val="0"/>
          <w:numId w:val="9"/>
        </w:numPr>
      </w:pPr>
      <w:r w:rsidRPr="00B13EBE">
        <w:t>continue to follow clinical guidelines about taking and recording current and recent medicines, including over-the-counter medicines, at each antenatal appointment (for example, see </w:t>
      </w:r>
      <w:hyperlink r:id="rId27" w:history="1">
        <w:r w:rsidRPr="00B13EBE">
          <w:rPr>
            <w:rStyle w:val="Hyperlink"/>
          </w:rPr>
          <w:t>NICE guideline on antenatal care [NG201]</w:t>
        </w:r>
      </w:hyperlink>
      <w:r w:rsidRPr="00B13EBE">
        <w:t>)</w:t>
      </w:r>
    </w:p>
    <w:p w14:paraId="4598131C" w14:textId="77777777" w:rsidR="00B13EBE" w:rsidRPr="00B13EBE" w:rsidRDefault="00B13EBE" w:rsidP="00B13EBE">
      <w:pPr>
        <w:numPr>
          <w:ilvl w:val="0"/>
          <w:numId w:val="9"/>
        </w:numPr>
      </w:pPr>
      <w:r w:rsidRPr="00B13EBE">
        <w:t>report suspected adverse reactions to NSAIDs to the </w:t>
      </w:r>
      <w:hyperlink r:id="rId28" w:history="1">
        <w:r w:rsidRPr="00B13EBE">
          <w:rPr>
            <w:rStyle w:val="Hyperlink"/>
          </w:rPr>
          <w:t>Yellow Card scheme</w:t>
        </w:r>
      </w:hyperlink>
    </w:p>
    <w:p w14:paraId="7621FAE0" w14:textId="77777777" w:rsidR="00B13EBE" w:rsidRPr="00B13EBE" w:rsidRDefault="00B13EBE" w:rsidP="00B13EBE">
      <w:pPr>
        <w:ind w:left="426"/>
      </w:pPr>
      <w:r w:rsidRPr="00B13EBE">
        <w:t>Please note that many over the counter flu remedies and analgesics contain ibuprofen.</w:t>
      </w:r>
    </w:p>
    <w:p w14:paraId="10A269A6" w14:textId="77777777" w:rsidR="00B13EBE" w:rsidRPr="00B13EBE" w:rsidRDefault="00B13EBE" w:rsidP="00B13EBE">
      <w:pPr>
        <w:ind w:left="426"/>
        <w:rPr>
          <w:b/>
          <w:bCs/>
        </w:rPr>
      </w:pPr>
      <w:r w:rsidRPr="00B13EBE">
        <w:rPr>
          <w:b/>
          <w:bCs/>
        </w:rPr>
        <w:t>Suggested action for GP practices:</w:t>
      </w:r>
    </w:p>
    <w:p w14:paraId="41BBCBF6" w14:textId="77777777" w:rsidR="00B13EBE" w:rsidRPr="00B13EBE" w:rsidRDefault="00B13EBE" w:rsidP="00B13EBE">
      <w:pPr>
        <w:ind w:left="426"/>
      </w:pPr>
      <w:r w:rsidRPr="00B13EBE">
        <w:t>Practices may like to search EMIS to check if patients on NSAIDs are pregnant and act as appropriate, accordingly.</w:t>
      </w:r>
    </w:p>
    <w:p w14:paraId="5C8C8138" w14:textId="77777777" w:rsidR="00B13EBE" w:rsidRPr="00B13EBE" w:rsidRDefault="00B13EBE" w:rsidP="00B13EBE">
      <w:pPr>
        <w:ind w:left="426"/>
      </w:pPr>
    </w:p>
    <w:p w14:paraId="15462DEB" w14:textId="77777777" w:rsidR="00B13EBE" w:rsidRPr="00B13EBE" w:rsidRDefault="00DC52C1" w:rsidP="00B13EBE">
      <w:pPr>
        <w:ind w:left="426"/>
        <w:rPr>
          <w:b/>
          <w:bCs/>
        </w:rPr>
      </w:pPr>
      <w:hyperlink r:id="rId29" w:history="1">
        <w:r w:rsidR="00B13EBE" w:rsidRPr="00B13EBE">
          <w:rPr>
            <w:rStyle w:val="Hyperlink"/>
            <w:b/>
            <w:bCs/>
          </w:rPr>
          <w:t>Calcium chloride, calcium gluconate: potential risk of underdosing with calcium gluconate in severe hyperkalaemia - GOV.UK (www.gov.uk)</w:t>
        </w:r>
      </w:hyperlink>
    </w:p>
    <w:p w14:paraId="405C4B6A" w14:textId="77777777" w:rsidR="00B13EBE" w:rsidRPr="00B13EBE" w:rsidRDefault="00DC52C1" w:rsidP="00B13EBE">
      <w:pPr>
        <w:ind w:left="426"/>
        <w:rPr>
          <w:b/>
          <w:bCs/>
        </w:rPr>
      </w:pPr>
      <w:hyperlink r:id="rId30" w:history="1">
        <w:r w:rsidR="00B13EBE" w:rsidRPr="00B13EBE">
          <w:rPr>
            <w:rStyle w:val="Hyperlink"/>
            <w:b/>
            <w:bCs/>
          </w:rPr>
          <w:t>Letters and medicine recalls sent to healthcare professionals in May 2023 - GOV.UK (www.gov.uk)</w:t>
        </w:r>
      </w:hyperlink>
    </w:p>
    <w:p w14:paraId="2FC60071" w14:textId="77777777" w:rsidR="00B13EBE" w:rsidRPr="00B13EBE" w:rsidRDefault="00B13EBE" w:rsidP="00B13EBE">
      <w:pPr>
        <w:ind w:left="426"/>
        <w:rPr>
          <w:b/>
          <w:bCs/>
        </w:rPr>
      </w:pPr>
      <w:r w:rsidRPr="00B13EBE">
        <w:rPr>
          <w:b/>
          <w:bCs/>
        </w:rPr>
        <w:t>Please follow the link in the titles above for more information and resources.</w:t>
      </w:r>
    </w:p>
    <w:p w14:paraId="5A0BCE35" w14:textId="77777777" w:rsidR="00B13EBE" w:rsidRPr="00B13EBE" w:rsidRDefault="00B13EBE" w:rsidP="00B13EBE">
      <w:pPr>
        <w:ind w:left="426"/>
        <w:rPr>
          <w:b/>
          <w:bCs/>
        </w:rPr>
      </w:pPr>
      <w:r w:rsidRPr="00B13EBE">
        <w:rPr>
          <w:b/>
          <w:bCs/>
        </w:rPr>
        <w:t xml:space="preserve">The MHRA Central Alerting System alerts can be accessed at </w:t>
      </w:r>
      <w:hyperlink r:id="rId31" w:history="1">
        <w:r w:rsidRPr="00B13EBE">
          <w:rPr>
            <w:rStyle w:val="Hyperlink"/>
            <w:b/>
            <w:bCs/>
          </w:rPr>
          <w:t>https://www.cas.mhra.gov.uk/Home.aspx</w:t>
        </w:r>
      </w:hyperlink>
      <w:r w:rsidRPr="00B13EBE">
        <w:rPr>
          <w:b/>
          <w:bCs/>
        </w:rPr>
        <w:t xml:space="preserve">  </w:t>
      </w:r>
    </w:p>
    <w:p w14:paraId="300375B4" w14:textId="77777777" w:rsidR="0025606B" w:rsidRDefault="0025606B" w:rsidP="00C90FA4">
      <w:pPr>
        <w:ind w:left="426"/>
      </w:pPr>
    </w:p>
    <w:p w14:paraId="76DDDEFF" w14:textId="77777777" w:rsidR="001D6D48" w:rsidRDefault="001D6D48" w:rsidP="001D6D48">
      <w:pPr>
        <w:ind w:left="426"/>
      </w:pPr>
    </w:p>
    <w:p w14:paraId="0B275BC3" w14:textId="50585204" w:rsidR="001D6D48" w:rsidRPr="001D6D48" w:rsidRDefault="00E855D2" w:rsidP="001D6D48">
      <w:pPr>
        <w:shd w:val="clear" w:color="auto" w:fill="E5DFEC" w:themeFill="accent4" w:themeFillTint="33"/>
        <w:ind w:left="426"/>
        <w:rPr>
          <w:b/>
          <w:bCs/>
        </w:rPr>
      </w:pPr>
      <w:bookmarkStart w:id="15" w:name="Article9"/>
      <w:bookmarkEnd w:id="15"/>
      <w:r>
        <w:rPr>
          <w:b/>
          <w:bCs/>
        </w:rPr>
        <w:t xml:space="preserve">Shortages Summary </w:t>
      </w:r>
    </w:p>
    <w:p w14:paraId="363EC22D" w14:textId="61D88F89" w:rsidR="00E4129D" w:rsidRDefault="00E4129D" w:rsidP="00E4129D">
      <w:pPr>
        <w:ind w:left="426"/>
      </w:pPr>
    </w:p>
    <w:p w14:paraId="524DFEEF" w14:textId="4EB5B21A" w:rsidR="002B72CA" w:rsidRDefault="002B72CA" w:rsidP="00E4129D">
      <w:pPr>
        <w:ind w:left="426"/>
      </w:pPr>
      <w:r w:rsidRPr="002B72CA">
        <w:t xml:space="preserve">Please find the medicines shortages update (up until </w:t>
      </w:r>
      <w:r w:rsidR="00B13EBE">
        <w:t>06</w:t>
      </w:r>
      <w:r w:rsidRPr="002B72CA">
        <w:rPr>
          <w:vertAlign w:val="superscript"/>
        </w:rPr>
        <w:t>th</w:t>
      </w:r>
      <w:r>
        <w:t xml:space="preserve"> Ju</w:t>
      </w:r>
      <w:r w:rsidR="00B13EBE">
        <w:t>ly</w:t>
      </w:r>
      <w:r w:rsidRPr="002B72CA">
        <w:t xml:space="preserve"> 2023) attached. Practices are encouraged to register for access to the SPS website https://www.sps.nhs.uk/ and access the full medicines supply tool directly in real</w:t>
      </w:r>
      <w:r>
        <w:t xml:space="preserve"> time.</w:t>
      </w:r>
    </w:p>
    <w:p w14:paraId="4BC7D51F" w14:textId="77777777" w:rsidR="00E4129D" w:rsidRDefault="00E4129D" w:rsidP="00E4129D">
      <w:pPr>
        <w:ind w:left="426"/>
      </w:pPr>
    </w:p>
    <w:p w14:paraId="7F2A778F" w14:textId="57E8CFE7" w:rsidR="00E4129D" w:rsidRDefault="00CB1C79" w:rsidP="00E4129D">
      <w:pPr>
        <w:ind w:left="426"/>
      </w:pPr>
      <w:r>
        <w:object w:dxaOrig="1534" w:dyaOrig="997" w14:anchorId="197CC7FB">
          <v:shape id="_x0000_i1027" type="#_x0000_t75" style="width:76.5pt;height:49.5pt" o:ole="">
            <v:imagedata r:id="rId32" o:title=""/>
          </v:shape>
          <o:OLEObject Type="Embed" ProgID="AcroExch.Document.DC" ShapeID="_x0000_i1027" DrawAspect="Icon" ObjectID="_1751467239" r:id="rId33"/>
        </w:object>
      </w:r>
    </w:p>
    <w:p w14:paraId="27C19338" w14:textId="77777777" w:rsidR="00036D00" w:rsidRDefault="00036D00" w:rsidP="0025606B"/>
    <w:p w14:paraId="667D0E01" w14:textId="77777777" w:rsidR="00036D00" w:rsidRDefault="00036D00" w:rsidP="008D1F21">
      <w:pPr>
        <w:ind w:left="426"/>
      </w:pPr>
      <w:bookmarkStart w:id="16" w:name="Article10"/>
      <w:bookmarkEnd w:id="16"/>
    </w:p>
    <w:sectPr w:rsidR="00036D00" w:rsidSect="00E4129D">
      <w:footerReference w:type="default" r:id="rId3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ECE0" w14:textId="77777777" w:rsidR="00912DC0" w:rsidRDefault="00912DC0" w:rsidP="00BB6A3C">
      <w:r>
        <w:separator/>
      </w:r>
    </w:p>
  </w:endnote>
  <w:endnote w:type="continuationSeparator" w:id="0">
    <w:p w14:paraId="5AA71472" w14:textId="77777777" w:rsidR="00912DC0" w:rsidRDefault="00912DC0" w:rsidP="00BB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18C2" w14:textId="77777777" w:rsidR="00EE1F83" w:rsidRPr="00BB3EF1" w:rsidRDefault="00EE1F83" w:rsidP="00EE1F83">
    <w:pPr>
      <w:pStyle w:val="Footer"/>
      <w:jc w:val="center"/>
      <w:rPr>
        <w:i/>
        <w:iCs/>
        <w:sz w:val="20"/>
        <w:szCs w:val="20"/>
      </w:rPr>
    </w:pPr>
    <w:r w:rsidRPr="00BB3EF1">
      <w:rPr>
        <w:rFonts w:ascii="Helvetica" w:hAnsi="Helvetica" w:cs="Helvetica"/>
        <w:i/>
        <w:iCs/>
        <w:color w:val="202020"/>
        <w:sz w:val="18"/>
        <w:szCs w:val="18"/>
      </w:rPr>
      <w:t>Every effort is made to ensure that the information contained in this newsletter is accurate and up to date at the time of publication. Please be aware that information about medicines and therapeutics will change over time, and that information may not be current after the initial date of publication. Please take note of the publication date and seek further advice if in any doubt about the accuracy of the information. The information contained in this newsletter is the best available from the resources at our disposal at the time. Acronyms used are standard formulary. This newsletter is produced by the NHS Kent and Medway Medicines Optimisation Team on behalf of the Kent &amp; Medway ICB. For all correspondence including any queries, please contact the Medicines Optimisation team email: kmicb.medicinesoptimisation@nhs.net</w:t>
    </w:r>
  </w:p>
  <w:p w14:paraId="111B92CB" w14:textId="77777777" w:rsidR="00514586" w:rsidRDefault="00514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2163" w14:textId="77777777" w:rsidR="00912DC0" w:rsidRDefault="00912DC0" w:rsidP="00BB6A3C">
      <w:r>
        <w:separator/>
      </w:r>
    </w:p>
  </w:footnote>
  <w:footnote w:type="continuationSeparator" w:id="0">
    <w:p w14:paraId="4976974C" w14:textId="77777777" w:rsidR="00912DC0" w:rsidRDefault="00912DC0" w:rsidP="00BB6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185"/>
    <w:multiLevelType w:val="hybridMultilevel"/>
    <w:tmpl w:val="5F90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B76B4"/>
    <w:multiLevelType w:val="hybridMultilevel"/>
    <w:tmpl w:val="358800F6"/>
    <w:lvl w:ilvl="0" w:tplc="63F4F6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680F9A"/>
    <w:multiLevelType w:val="hybridMultilevel"/>
    <w:tmpl w:val="8E920498"/>
    <w:lvl w:ilvl="0" w:tplc="B5FC067E">
      <w:start w:val="1"/>
      <w:numFmt w:val="decimal"/>
      <w:lvlText w:val="%1-"/>
      <w:lvlJc w:val="left"/>
      <w:pPr>
        <w:ind w:left="996" w:hanging="57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4E10F28"/>
    <w:multiLevelType w:val="hybridMultilevel"/>
    <w:tmpl w:val="3E62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32D42"/>
    <w:multiLevelType w:val="hybridMultilevel"/>
    <w:tmpl w:val="84D2F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8C00FD1"/>
    <w:multiLevelType w:val="hybridMultilevel"/>
    <w:tmpl w:val="E7625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BA5DDB"/>
    <w:multiLevelType w:val="multilevel"/>
    <w:tmpl w:val="BD8E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425E28"/>
    <w:multiLevelType w:val="hybridMultilevel"/>
    <w:tmpl w:val="1660A10E"/>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28E2717"/>
    <w:multiLevelType w:val="multilevel"/>
    <w:tmpl w:val="9A8EBB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C61288"/>
    <w:multiLevelType w:val="hybridMultilevel"/>
    <w:tmpl w:val="7B585126"/>
    <w:lvl w:ilvl="0" w:tplc="FFFFFFFF">
      <w:start w:val="1"/>
      <w:numFmt w:val="bullet"/>
      <w:lvlText w:val=""/>
      <w:lvlJc w:val="left"/>
      <w:pPr>
        <w:ind w:left="-131" w:hanging="360"/>
      </w:pPr>
      <w:rPr>
        <w:rFonts w:ascii="Symbol" w:hAnsi="Symbol" w:hint="default"/>
      </w:rPr>
    </w:lvl>
    <w:lvl w:ilvl="1" w:tplc="FFFFFFFF">
      <w:start w:val="1"/>
      <w:numFmt w:val="bullet"/>
      <w:lvlText w:val="o"/>
      <w:lvlJc w:val="left"/>
      <w:pPr>
        <w:ind w:left="589" w:hanging="360"/>
      </w:pPr>
      <w:rPr>
        <w:rFonts w:ascii="Courier New" w:hAnsi="Courier New" w:cs="Courier New" w:hint="default"/>
      </w:rPr>
    </w:lvl>
    <w:lvl w:ilvl="2" w:tplc="08090003">
      <w:start w:val="1"/>
      <w:numFmt w:val="bullet"/>
      <w:lvlText w:val="o"/>
      <w:lvlJc w:val="left"/>
      <w:pPr>
        <w:ind w:left="1309" w:hanging="360"/>
      </w:pPr>
      <w:rPr>
        <w:rFonts w:ascii="Courier New" w:hAnsi="Courier New" w:cs="Courier New" w:hint="default"/>
      </w:rPr>
    </w:lvl>
    <w:lvl w:ilvl="3" w:tplc="FFFFFFFF" w:tentative="1">
      <w:start w:val="1"/>
      <w:numFmt w:val="bullet"/>
      <w:lvlText w:val=""/>
      <w:lvlJc w:val="left"/>
      <w:pPr>
        <w:ind w:left="2029" w:hanging="360"/>
      </w:pPr>
      <w:rPr>
        <w:rFonts w:ascii="Symbol" w:hAnsi="Symbol" w:hint="default"/>
      </w:rPr>
    </w:lvl>
    <w:lvl w:ilvl="4" w:tplc="FFFFFFFF" w:tentative="1">
      <w:start w:val="1"/>
      <w:numFmt w:val="bullet"/>
      <w:lvlText w:val="o"/>
      <w:lvlJc w:val="left"/>
      <w:pPr>
        <w:ind w:left="2749" w:hanging="360"/>
      </w:pPr>
      <w:rPr>
        <w:rFonts w:ascii="Courier New" w:hAnsi="Courier New" w:cs="Courier New" w:hint="default"/>
      </w:rPr>
    </w:lvl>
    <w:lvl w:ilvl="5" w:tplc="FFFFFFFF" w:tentative="1">
      <w:start w:val="1"/>
      <w:numFmt w:val="bullet"/>
      <w:lvlText w:val=""/>
      <w:lvlJc w:val="left"/>
      <w:pPr>
        <w:ind w:left="3469" w:hanging="360"/>
      </w:pPr>
      <w:rPr>
        <w:rFonts w:ascii="Wingdings" w:hAnsi="Wingdings" w:hint="default"/>
      </w:rPr>
    </w:lvl>
    <w:lvl w:ilvl="6" w:tplc="FFFFFFFF" w:tentative="1">
      <w:start w:val="1"/>
      <w:numFmt w:val="bullet"/>
      <w:lvlText w:val=""/>
      <w:lvlJc w:val="left"/>
      <w:pPr>
        <w:ind w:left="4189" w:hanging="360"/>
      </w:pPr>
      <w:rPr>
        <w:rFonts w:ascii="Symbol" w:hAnsi="Symbol" w:hint="default"/>
      </w:rPr>
    </w:lvl>
    <w:lvl w:ilvl="7" w:tplc="FFFFFFFF" w:tentative="1">
      <w:start w:val="1"/>
      <w:numFmt w:val="bullet"/>
      <w:lvlText w:val="o"/>
      <w:lvlJc w:val="left"/>
      <w:pPr>
        <w:ind w:left="4909" w:hanging="360"/>
      </w:pPr>
      <w:rPr>
        <w:rFonts w:ascii="Courier New" w:hAnsi="Courier New" w:cs="Courier New" w:hint="default"/>
      </w:rPr>
    </w:lvl>
    <w:lvl w:ilvl="8" w:tplc="FFFFFFFF" w:tentative="1">
      <w:start w:val="1"/>
      <w:numFmt w:val="bullet"/>
      <w:lvlText w:val=""/>
      <w:lvlJc w:val="left"/>
      <w:pPr>
        <w:ind w:left="5629" w:hanging="360"/>
      </w:pPr>
      <w:rPr>
        <w:rFonts w:ascii="Wingdings" w:hAnsi="Wingdings" w:hint="default"/>
      </w:rPr>
    </w:lvl>
  </w:abstractNum>
  <w:abstractNum w:abstractNumId="10" w15:restartNumberingAfterBreak="0">
    <w:nsid w:val="4E457C09"/>
    <w:multiLevelType w:val="hybridMultilevel"/>
    <w:tmpl w:val="90C092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4CE2A0F"/>
    <w:multiLevelType w:val="hybridMultilevel"/>
    <w:tmpl w:val="DE621A78"/>
    <w:lvl w:ilvl="0" w:tplc="1FA0AB9A">
      <w:start w:val="14"/>
      <w:numFmt w:val="bullet"/>
      <w:lvlText w:val=""/>
      <w:lvlJc w:val="left"/>
      <w:pPr>
        <w:ind w:left="720" w:hanging="720"/>
      </w:pPr>
      <w:rPr>
        <w:rFonts w:ascii="Symbol" w:eastAsia="Times New Roman"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ED7109"/>
    <w:multiLevelType w:val="multilevel"/>
    <w:tmpl w:val="8A7E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6E63AE"/>
    <w:multiLevelType w:val="hybridMultilevel"/>
    <w:tmpl w:val="9FD40936"/>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694E2FA4"/>
    <w:multiLevelType w:val="multilevel"/>
    <w:tmpl w:val="B6C05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2E3B66"/>
    <w:multiLevelType w:val="multilevel"/>
    <w:tmpl w:val="E21A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484ED2"/>
    <w:multiLevelType w:val="hybridMultilevel"/>
    <w:tmpl w:val="DE364956"/>
    <w:lvl w:ilvl="0" w:tplc="FD4288A6">
      <w:start w:val="14"/>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393E39"/>
    <w:multiLevelType w:val="hybridMultilevel"/>
    <w:tmpl w:val="3F0645C0"/>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1">
      <w:start w:val="1"/>
      <w:numFmt w:val="bullet"/>
      <w:lvlText w:val=""/>
      <w:lvlJc w:val="left"/>
      <w:pPr>
        <w:ind w:left="1309" w:hanging="360"/>
      </w:pPr>
      <w:rPr>
        <w:rFonts w:ascii="Symbol" w:hAnsi="Symbol"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16cid:durableId="412045219">
    <w:abstractNumId w:val="14"/>
  </w:num>
  <w:num w:numId="2" w16cid:durableId="1251700040">
    <w:abstractNumId w:val="1"/>
  </w:num>
  <w:num w:numId="3" w16cid:durableId="592905149">
    <w:abstractNumId w:val="0"/>
  </w:num>
  <w:num w:numId="4" w16cid:durableId="789661908">
    <w:abstractNumId w:val="15"/>
  </w:num>
  <w:num w:numId="5" w16cid:durableId="590683">
    <w:abstractNumId w:val="17"/>
  </w:num>
  <w:num w:numId="6" w16cid:durableId="857353003">
    <w:abstractNumId w:val="6"/>
  </w:num>
  <w:num w:numId="7" w16cid:durableId="1048258263">
    <w:abstractNumId w:val="12"/>
  </w:num>
  <w:num w:numId="8" w16cid:durableId="1390692574">
    <w:abstractNumId w:val="4"/>
  </w:num>
  <w:num w:numId="9" w16cid:durableId="1349140628">
    <w:abstractNumId w:val="8"/>
  </w:num>
  <w:num w:numId="10" w16cid:durableId="2077511805">
    <w:abstractNumId w:val="11"/>
  </w:num>
  <w:num w:numId="11" w16cid:durableId="345595291">
    <w:abstractNumId w:val="16"/>
  </w:num>
  <w:num w:numId="12" w16cid:durableId="1025063880">
    <w:abstractNumId w:val="5"/>
  </w:num>
  <w:num w:numId="13" w16cid:durableId="2147235040">
    <w:abstractNumId w:val="3"/>
  </w:num>
  <w:num w:numId="14" w16cid:durableId="219512401">
    <w:abstractNumId w:val="9"/>
  </w:num>
  <w:num w:numId="15" w16cid:durableId="1753776116">
    <w:abstractNumId w:val="7"/>
  </w:num>
  <w:num w:numId="16" w16cid:durableId="2139638709">
    <w:abstractNumId w:val="13"/>
  </w:num>
  <w:num w:numId="17" w16cid:durableId="1029601673">
    <w:abstractNumId w:val="10"/>
  </w:num>
  <w:num w:numId="18" w16cid:durableId="1235702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F2"/>
    <w:rsid w:val="0001464E"/>
    <w:rsid w:val="00036D00"/>
    <w:rsid w:val="0007102D"/>
    <w:rsid w:val="00077A4F"/>
    <w:rsid w:val="00077D13"/>
    <w:rsid w:val="000803AE"/>
    <w:rsid w:val="000A3238"/>
    <w:rsid w:val="000A5D2D"/>
    <w:rsid w:val="000A682D"/>
    <w:rsid w:val="000B4B5B"/>
    <w:rsid w:val="000B6A37"/>
    <w:rsid w:val="000C0A91"/>
    <w:rsid w:val="000D43B0"/>
    <w:rsid w:val="001150D2"/>
    <w:rsid w:val="00125CFA"/>
    <w:rsid w:val="00126DD9"/>
    <w:rsid w:val="0012769B"/>
    <w:rsid w:val="00134DA7"/>
    <w:rsid w:val="00136AB8"/>
    <w:rsid w:val="00183BA4"/>
    <w:rsid w:val="00183DAC"/>
    <w:rsid w:val="001910B3"/>
    <w:rsid w:val="001929C6"/>
    <w:rsid w:val="001A02B1"/>
    <w:rsid w:val="001B19C6"/>
    <w:rsid w:val="001C74D0"/>
    <w:rsid w:val="001D6D48"/>
    <w:rsid w:val="001E7264"/>
    <w:rsid w:val="001F0515"/>
    <w:rsid w:val="001F5B0D"/>
    <w:rsid w:val="00202F93"/>
    <w:rsid w:val="00226581"/>
    <w:rsid w:val="00226B01"/>
    <w:rsid w:val="00230F70"/>
    <w:rsid w:val="0025606B"/>
    <w:rsid w:val="002901FD"/>
    <w:rsid w:val="00291374"/>
    <w:rsid w:val="002B25E3"/>
    <w:rsid w:val="002B2BE1"/>
    <w:rsid w:val="002B72CA"/>
    <w:rsid w:val="002F7FF3"/>
    <w:rsid w:val="00313AF2"/>
    <w:rsid w:val="00324B5F"/>
    <w:rsid w:val="003328E2"/>
    <w:rsid w:val="00341014"/>
    <w:rsid w:val="00354447"/>
    <w:rsid w:val="00364133"/>
    <w:rsid w:val="003662E0"/>
    <w:rsid w:val="00372619"/>
    <w:rsid w:val="003A6A8C"/>
    <w:rsid w:val="003A6B4D"/>
    <w:rsid w:val="00400EED"/>
    <w:rsid w:val="004050E2"/>
    <w:rsid w:val="00410504"/>
    <w:rsid w:val="0041427C"/>
    <w:rsid w:val="00420AD8"/>
    <w:rsid w:val="00423710"/>
    <w:rsid w:val="00424046"/>
    <w:rsid w:val="004505A2"/>
    <w:rsid w:val="004527A0"/>
    <w:rsid w:val="00462ACE"/>
    <w:rsid w:val="004716B9"/>
    <w:rsid w:val="004910FC"/>
    <w:rsid w:val="00493A44"/>
    <w:rsid w:val="004A10BD"/>
    <w:rsid w:val="004C0152"/>
    <w:rsid w:val="004C08ED"/>
    <w:rsid w:val="004C2204"/>
    <w:rsid w:val="004E1745"/>
    <w:rsid w:val="004E4605"/>
    <w:rsid w:val="004F2F87"/>
    <w:rsid w:val="004F3228"/>
    <w:rsid w:val="004F582D"/>
    <w:rsid w:val="00511858"/>
    <w:rsid w:val="00514586"/>
    <w:rsid w:val="00543A28"/>
    <w:rsid w:val="005442D8"/>
    <w:rsid w:val="00551DBB"/>
    <w:rsid w:val="00563A4E"/>
    <w:rsid w:val="00567800"/>
    <w:rsid w:val="00584250"/>
    <w:rsid w:val="005A26B1"/>
    <w:rsid w:val="005E29EF"/>
    <w:rsid w:val="005F72FF"/>
    <w:rsid w:val="006007F3"/>
    <w:rsid w:val="00604742"/>
    <w:rsid w:val="006127A2"/>
    <w:rsid w:val="006222B5"/>
    <w:rsid w:val="0064221E"/>
    <w:rsid w:val="00647897"/>
    <w:rsid w:val="00675543"/>
    <w:rsid w:val="006C6725"/>
    <w:rsid w:val="006E3C83"/>
    <w:rsid w:val="006F6D04"/>
    <w:rsid w:val="007164C2"/>
    <w:rsid w:val="0073103A"/>
    <w:rsid w:val="0075068F"/>
    <w:rsid w:val="0078117B"/>
    <w:rsid w:val="007829F3"/>
    <w:rsid w:val="007A6F2C"/>
    <w:rsid w:val="007C6249"/>
    <w:rsid w:val="007E68C7"/>
    <w:rsid w:val="007F26AF"/>
    <w:rsid w:val="00837A0A"/>
    <w:rsid w:val="00846044"/>
    <w:rsid w:val="008653D7"/>
    <w:rsid w:val="0087082B"/>
    <w:rsid w:val="00874147"/>
    <w:rsid w:val="00884932"/>
    <w:rsid w:val="00894140"/>
    <w:rsid w:val="00894B3B"/>
    <w:rsid w:val="0089509B"/>
    <w:rsid w:val="008D0F30"/>
    <w:rsid w:val="008D1F21"/>
    <w:rsid w:val="008D5158"/>
    <w:rsid w:val="008D58A6"/>
    <w:rsid w:val="008D6F54"/>
    <w:rsid w:val="00901AEA"/>
    <w:rsid w:val="00904123"/>
    <w:rsid w:val="00904E29"/>
    <w:rsid w:val="00912DC0"/>
    <w:rsid w:val="0093360F"/>
    <w:rsid w:val="009425DA"/>
    <w:rsid w:val="0096102D"/>
    <w:rsid w:val="00961B85"/>
    <w:rsid w:val="00975A53"/>
    <w:rsid w:val="0097613F"/>
    <w:rsid w:val="00977057"/>
    <w:rsid w:val="009B326F"/>
    <w:rsid w:val="009C1C26"/>
    <w:rsid w:val="009E37A6"/>
    <w:rsid w:val="009E6BB7"/>
    <w:rsid w:val="00A00369"/>
    <w:rsid w:val="00A13A1B"/>
    <w:rsid w:val="00A175CE"/>
    <w:rsid w:val="00A2350D"/>
    <w:rsid w:val="00A25866"/>
    <w:rsid w:val="00A36375"/>
    <w:rsid w:val="00A47967"/>
    <w:rsid w:val="00A54B4F"/>
    <w:rsid w:val="00A61838"/>
    <w:rsid w:val="00A65DD6"/>
    <w:rsid w:val="00A76139"/>
    <w:rsid w:val="00A83D90"/>
    <w:rsid w:val="00AD58C0"/>
    <w:rsid w:val="00B13EBE"/>
    <w:rsid w:val="00B22207"/>
    <w:rsid w:val="00B34364"/>
    <w:rsid w:val="00B37B25"/>
    <w:rsid w:val="00B41869"/>
    <w:rsid w:val="00B479DF"/>
    <w:rsid w:val="00B733DF"/>
    <w:rsid w:val="00B977F8"/>
    <w:rsid w:val="00BA0BB5"/>
    <w:rsid w:val="00BB6A3C"/>
    <w:rsid w:val="00BC2408"/>
    <w:rsid w:val="00BE4823"/>
    <w:rsid w:val="00BE70A6"/>
    <w:rsid w:val="00C01016"/>
    <w:rsid w:val="00C071FB"/>
    <w:rsid w:val="00C349F2"/>
    <w:rsid w:val="00C376D5"/>
    <w:rsid w:val="00C61EFB"/>
    <w:rsid w:val="00C73215"/>
    <w:rsid w:val="00C738DD"/>
    <w:rsid w:val="00C86113"/>
    <w:rsid w:val="00C90FA4"/>
    <w:rsid w:val="00C90FE9"/>
    <w:rsid w:val="00C96417"/>
    <w:rsid w:val="00CA73E7"/>
    <w:rsid w:val="00CB13C1"/>
    <w:rsid w:val="00CB1C79"/>
    <w:rsid w:val="00CC33B0"/>
    <w:rsid w:val="00CE4416"/>
    <w:rsid w:val="00CE4DA2"/>
    <w:rsid w:val="00CE724F"/>
    <w:rsid w:val="00CF792B"/>
    <w:rsid w:val="00D02219"/>
    <w:rsid w:val="00D21869"/>
    <w:rsid w:val="00D3361D"/>
    <w:rsid w:val="00D37130"/>
    <w:rsid w:val="00D40C34"/>
    <w:rsid w:val="00D635FB"/>
    <w:rsid w:val="00D91BED"/>
    <w:rsid w:val="00DA24C1"/>
    <w:rsid w:val="00DC52C1"/>
    <w:rsid w:val="00DD2C03"/>
    <w:rsid w:val="00DD55CE"/>
    <w:rsid w:val="00DD60F8"/>
    <w:rsid w:val="00DF086E"/>
    <w:rsid w:val="00E222C2"/>
    <w:rsid w:val="00E24241"/>
    <w:rsid w:val="00E4129D"/>
    <w:rsid w:val="00E457D0"/>
    <w:rsid w:val="00E855D2"/>
    <w:rsid w:val="00EB1E45"/>
    <w:rsid w:val="00EC578E"/>
    <w:rsid w:val="00ED0525"/>
    <w:rsid w:val="00ED0EDA"/>
    <w:rsid w:val="00EE1F83"/>
    <w:rsid w:val="00EE65FA"/>
    <w:rsid w:val="00F10DC3"/>
    <w:rsid w:val="00F12C8E"/>
    <w:rsid w:val="00F152A3"/>
    <w:rsid w:val="00F25CFE"/>
    <w:rsid w:val="00F41881"/>
    <w:rsid w:val="00F52090"/>
    <w:rsid w:val="00F93E84"/>
    <w:rsid w:val="00F96C08"/>
    <w:rsid w:val="00F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551007"/>
  <w15:chartTrackingRefBased/>
  <w15:docId w15:val="{914F3490-FF75-4BF0-A2D5-11957C49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9B"/>
    <w:pPr>
      <w:spacing w:after="0" w:line="240" w:lineRule="auto"/>
    </w:pPr>
    <w:rPr>
      <w:rFonts w:ascii="Calibri" w:hAnsi="Calibri" w:cs="Calibri"/>
      <w:lang w:eastAsia="en-GB"/>
    </w:rPr>
  </w:style>
  <w:style w:type="paragraph" w:styleId="Heading1">
    <w:name w:val="heading 1"/>
    <w:basedOn w:val="Normal"/>
    <w:link w:val="Heading1Char"/>
    <w:uiPriority w:val="9"/>
    <w:qFormat/>
    <w:rsid w:val="00C349F2"/>
    <w:pPr>
      <w:spacing w:line="300" w:lineRule="auto"/>
      <w:outlineLvl w:val="0"/>
    </w:pPr>
    <w:rPr>
      <w:rFonts w:ascii="Helvetica" w:hAnsi="Helvetica" w:cs="Helvetica"/>
      <w:b/>
      <w:bCs/>
      <w:color w:val="202020"/>
      <w:kern w:val="36"/>
      <w:sz w:val="39"/>
      <w:szCs w:val="39"/>
    </w:rPr>
  </w:style>
  <w:style w:type="paragraph" w:styleId="Heading2">
    <w:name w:val="heading 2"/>
    <w:basedOn w:val="Normal"/>
    <w:link w:val="Heading2Char"/>
    <w:uiPriority w:val="9"/>
    <w:semiHidden/>
    <w:unhideWhenUsed/>
    <w:qFormat/>
    <w:rsid w:val="00C349F2"/>
    <w:pPr>
      <w:spacing w:line="300" w:lineRule="auto"/>
      <w:outlineLvl w:val="1"/>
    </w:pPr>
    <w:rPr>
      <w:rFonts w:ascii="Helvetica" w:hAnsi="Helvetica" w:cs="Helvetica"/>
      <w:b/>
      <w:bCs/>
      <w:color w:val="202020"/>
      <w:sz w:val="33"/>
      <w:szCs w:val="33"/>
    </w:rPr>
  </w:style>
  <w:style w:type="paragraph" w:styleId="Heading3">
    <w:name w:val="heading 3"/>
    <w:basedOn w:val="Normal"/>
    <w:next w:val="Normal"/>
    <w:link w:val="Heading3Char"/>
    <w:uiPriority w:val="9"/>
    <w:semiHidden/>
    <w:unhideWhenUsed/>
    <w:qFormat/>
    <w:rsid w:val="00B13E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9F2"/>
    <w:rPr>
      <w:rFonts w:ascii="Helvetica" w:hAnsi="Helvetica" w:cs="Helvetica"/>
      <w:b/>
      <w:bCs/>
      <w:color w:val="202020"/>
      <w:kern w:val="36"/>
      <w:sz w:val="39"/>
      <w:szCs w:val="39"/>
      <w:lang w:eastAsia="en-GB"/>
    </w:rPr>
  </w:style>
  <w:style w:type="character" w:customStyle="1" w:styleId="Heading2Char">
    <w:name w:val="Heading 2 Char"/>
    <w:basedOn w:val="DefaultParagraphFont"/>
    <w:link w:val="Heading2"/>
    <w:uiPriority w:val="9"/>
    <w:semiHidden/>
    <w:rsid w:val="00C349F2"/>
    <w:rPr>
      <w:rFonts w:ascii="Helvetica" w:hAnsi="Helvetica" w:cs="Helvetica"/>
      <w:b/>
      <w:bCs/>
      <w:color w:val="202020"/>
      <w:sz w:val="33"/>
      <w:szCs w:val="33"/>
      <w:lang w:eastAsia="en-GB"/>
    </w:rPr>
  </w:style>
  <w:style w:type="character" w:styleId="Hyperlink">
    <w:name w:val="Hyperlink"/>
    <w:basedOn w:val="DefaultParagraphFont"/>
    <w:uiPriority w:val="99"/>
    <w:unhideWhenUsed/>
    <w:rsid w:val="000803AE"/>
    <w:rPr>
      <w:color w:val="0000FF"/>
      <w:u w:val="single"/>
    </w:rPr>
  </w:style>
  <w:style w:type="paragraph" w:styleId="ListParagraph">
    <w:name w:val="List Paragraph"/>
    <w:basedOn w:val="Normal"/>
    <w:uiPriority w:val="34"/>
    <w:qFormat/>
    <w:rsid w:val="000803AE"/>
    <w:pPr>
      <w:spacing w:after="200" w:line="276" w:lineRule="auto"/>
      <w:ind w:left="720"/>
      <w:contextualSpacing/>
    </w:pPr>
    <w:rPr>
      <w:rFonts w:asciiTheme="minorHAnsi" w:hAnsiTheme="minorHAnsi" w:cstheme="minorBidi"/>
      <w:lang w:eastAsia="en-US"/>
    </w:rPr>
  </w:style>
  <w:style w:type="character" w:styleId="UnresolvedMention">
    <w:name w:val="Unresolved Mention"/>
    <w:basedOn w:val="DefaultParagraphFont"/>
    <w:uiPriority w:val="99"/>
    <w:semiHidden/>
    <w:unhideWhenUsed/>
    <w:rsid w:val="00C73215"/>
    <w:rPr>
      <w:color w:val="605E5C"/>
      <w:shd w:val="clear" w:color="auto" w:fill="E1DFDD"/>
    </w:rPr>
  </w:style>
  <w:style w:type="paragraph" w:styleId="Header">
    <w:name w:val="header"/>
    <w:basedOn w:val="Normal"/>
    <w:link w:val="HeaderChar"/>
    <w:uiPriority w:val="99"/>
    <w:unhideWhenUsed/>
    <w:rsid w:val="00BB6A3C"/>
    <w:pPr>
      <w:tabs>
        <w:tab w:val="center" w:pos="4513"/>
        <w:tab w:val="right" w:pos="9026"/>
      </w:tabs>
    </w:pPr>
  </w:style>
  <w:style w:type="character" w:customStyle="1" w:styleId="HeaderChar">
    <w:name w:val="Header Char"/>
    <w:basedOn w:val="DefaultParagraphFont"/>
    <w:link w:val="Header"/>
    <w:uiPriority w:val="99"/>
    <w:rsid w:val="00BB6A3C"/>
    <w:rPr>
      <w:rFonts w:ascii="Calibri" w:hAnsi="Calibri" w:cs="Calibri"/>
      <w:lang w:eastAsia="en-GB"/>
    </w:rPr>
  </w:style>
  <w:style w:type="paragraph" w:styleId="Footer">
    <w:name w:val="footer"/>
    <w:basedOn w:val="Normal"/>
    <w:link w:val="FooterChar"/>
    <w:uiPriority w:val="99"/>
    <w:unhideWhenUsed/>
    <w:rsid w:val="00BB6A3C"/>
    <w:pPr>
      <w:tabs>
        <w:tab w:val="center" w:pos="4513"/>
        <w:tab w:val="right" w:pos="9026"/>
      </w:tabs>
    </w:pPr>
  </w:style>
  <w:style w:type="character" w:customStyle="1" w:styleId="FooterChar">
    <w:name w:val="Footer Char"/>
    <w:basedOn w:val="DefaultParagraphFont"/>
    <w:link w:val="Footer"/>
    <w:uiPriority w:val="99"/>
    <w:rsid w:val="00BB6A3C"/>
    <w:rPr>
      <w:rFonts w:ascii="Calibri" w:hAnsi="Calibri" w:cs="Calibri"/>
      <w:lang w:eastAsia="en-GB"/>
    </w:rPr>
  </w:style>
  <w:style w:type="character" w:styleId="FollowedHyperlink">
    <w:name w:val="FollowedHyperlink"/>
    <w:basedOn w:val="DefaultParagraphFont"/>
    <w:uiPriority w:val="99"/>
    <w:semiHidden/>
    <w:unhideWhenUsed/>
    <w:rsid w:val="00EE1F83"/>
    <w:rPr>
      <w:color w:val="800080" w:themeColor="followedHyperlink"/>
      <w:u w:val="single"/>
    </w:rPr>
  </w:style>
  <w:style w:type="character" w:customStyle="1" w:styleId="Heading3Char">
    <w:name w:val="Heading 3 Char"/>
    <w:basedOn w:val="DefaultParagraphFont"/>
    <w:link w:val="Heading3"/>
    <w:uiPriority w:val="9"/>
    <w:semiHidden/>
    <w:rsid w:val="00B13EBE"/>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1255">
      <w:bodyDiv w:val="1"/>
      <w:marLeft w:val="0"/>
      <w:marRight w:val="0"/>
      <w:marTop w:val="0"/>
      <w:marBottom w:val="0"/>
      <w:divBdr>
        <w:top w:val="none" w:sz="0" w:space="0" w:color="auto"/>
        <w:left w:val="none" w:sz="0" w:space="0" w:color="auto"/>
        <w:bottom w:val="none" w:sz="0" w:space="0" w:color="auto"/>
        <w:right w:val="none" w:sz="0" w:space="0" w:color="auto"/>
      </w:divBdr>
    </w:div>
    <w:div w:id="164906120">
      <w:bodyDiv w:val="1"/>
      <w:marLeft w:val="0"/>
      <w:marRight w:val="0"/>
      <w:marTop w:val="0"/>
      <w:marBottom w:val="0"/>
      <w:divBdr>
        <w:top w:val="none" w:sz="0" w:space="0" w:color="auto"/>
        <w:left w:val="none" w:sz="0" w:space="0" w:color="auto"/>
        <w:bottom w:val="none" w:sz="0" w:space="0" w:color="auto"/>
        <w:right w:val="none" w:sz="0" w:space="0" w:color="auto"/>
      </w:divBdr>
    </w:div>
    <w:div w:id="422380475">
      <w:bodyDiv w:val="1"/>
      <w:marLeft w:val="0"/>
      <w:marRight w:val="0"/>
      <w:marTop w:val="0"/>
      <w:marBottom w:val="0"/>
      <w:divBdr>
        <w:top w:val="none" w:sz="0" w:space="0" w:color="auto"/>
        <w:left w:val="none" w:sz="0" w:space="0" w:color="auto"/>
        <w:bottom w:val="none" w:sz="0" w:space="0" w:color="auto"/>
        <w:right w:val="none" w:sz="0" w:space="0" w:color="auto"/>
      </w:divBdr>
    </w:div>
    <w:div w:id="556013256">
      <w:bodyDiv w:val="1"/>
      <w:marLeft w:val="0"/>
      <w:marRight w:val="0"/>
      <w:marTop w:val="0"/>
      <w:marBottom w:val="0"/>
      <w:divBdr>
        <w:top w:val="none" w:sz="0" w:space="0" w:color="auto"/>
        <w:left w:val="none" w:sz="0" w:space="0" w:color="auto"/>
        <w:bottom w:val="none" w:sz="0" w:space="0" w:color="auto"/>
        <w:right w:val="none" w:sz="0" w:space="0" w:color="auto"/>
      </w:divBdr>
    </w:div>
    <w:div w:id="758671180">
      <w:bodyDiv w:val="1"/>
      <w:marLeft w:val="0"/>
      <w:marRight w:val="0"/>
      <w:marTop w:val="0"/>
      <w:marBottom w:val="0"/>
      <w:divBdr>
        <w:top w:val="none" w:sz="0" w:space="0" w:color="auto"/>
        <w:left w:val="none" w:sz="0" w:space="0" w:color="auto"/>
        <w:bottom w:val="none" w:sz="0" w:space="0" w:color="auto"/>
        <w:right w:val="none" w:sz="0" w:space="0" w:color="auto"/>
      </w:divBdr>
    </w:div>
    <w:div w:id="913470038">
      <w:bodyDiv w:val="1"/>
      <w:marLeft w:val="0"/>
      <w:marRight w:val="0"/>
      <w:marTop w:val="0"/>
      <w:marBottom w:val="0"/>
      <w:divBdr>
        <w:top w:val="none" w:sz="0" w:space="0" w:color="auto"/>
        <w:left w:val="none" w:sz="0" w:space="0" w:color="auto"/>
        <w:bottom w:val="none" w:sz="0" w:space="0" w:color="auto"/>
        <w:right w:val="none" w:sz="0" w:space="0" w:color="auto"/>
      </w:divBdr>
    </w:div>
    <w:div w:id="1006519991">
      <w:bodyDiv w:val="1"/>
      <w:marLeft w:val="0"/>
      <w:marRight w:val="0"/>
      <w:marTop w:val="0"/>
      <w:marBottom w:val="0"/>
      <w:divBdr>
        <w:top w:val="none" w:sz="0" w:space="0" w:color="auto"/>
        <w:left w:val="none" w:sz="0" w:space="0" w:color="auto"/>
        <w:bottom w:val="none" w:sz="0" w:space="0" w:color="auto"/>
        <w:right w:val="none" w:sz="0" w:space="0" w:color="auto"/>
      </w:divBdr>
    </w:div>
    <w:div w:id="1144271476">
      <w:bodyDiv w:val="1"/>
      <w:marLeft w:val="0"/>
      <w:marRight w:val="0"/>
      <w:marTop w:val="0"/>
      <w:marBottom w:val="0"/>
      <w:divBdr>
        <w:top w:val="none" w:sz="0" w:space="0" w:color="auto"/>
        <w:left w:val="none" w:sz="0" w:space="0" w:color="auto"/>
        <w:bottom w:val="none" w:sz="0" w:space="0" w:color="auto"/>
        <w:right w:val="none" w:sz="0" w:space="0" w:color="auto"/>
      </w:divBdr>
    </w:div>
    <w:div w:id="1565410257">
      <w:bodyDiv w:val="1"/>
      <w:marLeft w:val="0"/>
      <w:marRight w:val="0"/>
      <w:marTop w:val="0"/>
      <w:marBottom w:val="0"/>
      <w:divBdr>
        <w:top w:val="none" w:sz="0" w:space="0" w:color="auto"/>
        <w:left w:val="none" w:sz="0" w:space="0" w:color="auto"/>
        <w:bottom w:val="none" w:sz="0" w:space="0" w:color="auto"/>
        <w:right w:val="none" w:sz="0" w:space="0" w:color="auto"/>
      </w:divBdr>
    </w:div>
    <w:div w:id="15861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ta733" TargetMode="External"/><Relationship Id="rId18" Type="http://schemas.openxmlformats.org/officeDocument/2006/relationships/hyperlink" Target="https://www.sps.nhs.uk/wp-login.php?redirect_to=https%3A%2F%2Fwww.sps.nhs.uk%2Fshortages%2Fshortage-of-glp-1-receptor-agonists-used-in-the-management-of-type-2-diabetes-semaglutide-dulaglutide-liraglutide-exenatide%2F&amp;reauth=1" TargetMode="External"/><Relationship Id="rId26" Type="http://schemas.openxmlformats.org/officeDocument/2006/relationships/hyperlink" Target="https://bmcpregnancychildbirth.biomedcentral.com/articles/10.1186/s12884-022-04986-4" TargetMode="External"/><Relationship Id="rId3" Type="http://schemas.openxmlformats.org/officeDocument/2006/relationships/customXml" Target="../customXml/item3.xml"/><Relationship Id="rId21" Type="http://schemas.openxmlformats.org/officeDocument/2006/relationships/hyperlink" Target="https://www.gov.uk/drug-safety-update"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package" Target="embeddings/Microsoft_Word_Document.docx"/><Relationship Id="rId25" Type="http://schemas.openxmlformats.org/officeDocument/2006/relationships/hyperlink" Target="https://www.gov.uk/drug-safety-update/non-steroidal-anti-inflammatory-drugs-nsaids-potential-risks-following-prolonged-use-after-20-weeks-of-pregnancy" TargetMode="External"/><Relationship Id="rId33"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gov.uk/drug-device-alerts/class-3-medicines-recall-strandhaven-limited-t-slash-a-somex-pharma-sildenafil-100mg-film-coated-tablets-el-23-a-slash-21" TargetMode="External"/><Relationship Id="rId29" Type="http://schemas.openxmlformats.org/officeDocument/2006/relationships/hyperlink" Target="https://www.gov.uk/drug-safety-update/calcium-chloride-calcium-gluconate-potential-risk-of-underdosing-with-calcium-gluconate-in-severe-hyperkalaem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hyperlink" Target="https://youtu.be/4vNR5N1-iBw" TargetMode="External"/><Relationship Id="rId32" Type="http://schemas.openxmlformats.org/officeDocument/2006/relationships/image" Target="media/image6.emf"/><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hyperlink" Target="https://youtu.be/4vNR5N1-iBw" TargetMode="External"/><Relationship Id="rId28" Type="http://schemas.openxmlformats.org/officeDocument/2006/relationships/hyperlink" Target="https://yellowcard.mhra.gov.uk/"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gbr01.safelinks.protection.outlook.com/?url=https%3A%2F%2Fwww.nice.org.uk%2Fguidance%2Fng28&amp;data=05%7C01%7Camali.gamaarachchi%40nhs.net%7C6faf1381c2fe42f2430e08db8a07c6d9%7C37c354b285b047f5b22207b48d774ee3%7C0%7C0%7C638255538218883483%7CUnknown%7CTWFpbGZsb3d8eyJWIjoiMC4wLjAwMDAiLCJQIjoiV2luMzIiLCJBTiI6Ik1haWwiLCJXVCI6Mn0%3D%7C3000%7C%7C%7C&amp;sdata=tlK%2FwQrzVA3jrevdMpsHr5OuySwkDP6f%2FS%2BHa80g2so%3D&amp;reserved=0" TargetMode="External"/><Relationship Id="rId31" Type="http://schemas.openxmlformats.org/officeDocument/2006/relationships/hyperlink" Target="https://www.cas.mhra.gov.uk/Hom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hyperlink" Target="https://www.gov.uk/drug-safety-update/adrenaline-auto-injectors-aais-new-guidance-and-resources-for-safe-use" TargetMode="External"/><Relationship Id="rId27" Type="http://schemas.openxmlformats.org/officeDocument/2006/relationships/hyperlink" Target="https://www.nice.org.uk/guidance/ng201/chapter/recommendations" TargetMode="External"/><Relationship Id="rId30" Type="http://schemas.openxmlformats.org/officeDocument/2006/relationships/hyperlink" Target="https://www.gov.uk/drug-safety-update/letters-and-medicine-recalls-sent-to-healthcare-professionals-in-may-2023"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4A1C434E910648B716F1B8A4452C7C" ma:contentTypeVersion="14" ma:contentTypeDescription="Create a new document." ma:contentTypeScope="" ma:versionID="6426a48f5d00ef1aae24c06b6b71eb87">
  <xsd:schema xmlns:xsd="http://www.w3.org/2001/XMLSchema" xmlns:xs="http://www.w3.org/2001/XMLSchema" xmlns:p="http://schemas.microsoft.com/office/2006/metadata/properties" xmlns:ns3="a8e734a9-52cf-49e3-bcde-90df6cef9c0a" xmlns:ns4="fc8c83e1-e4af-414a-b3b5-326eb82e57bc" targetNamespace="http://schemas.microsoft.com/office/2006/metadata/properties" ma:root="true" ma:fieldsID="fa62d7638be8c72fcc7562784edfb5ee" ns3:_="" ns4:_="">
    <xsd:import namespace="a8e734a9-52cf-49e3-bcde-90df6cef9c0a"/>
    <xsd:import namespace="fc8c83e1-e4af-414a-b3b5-326eb82e5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734a9-52cf-49e3-bcde-90df6cef9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c83e1-e4af-414a-b3b5-326eb82e57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19015-9D20-494F-AF73-EC3E4156B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CB2B1C-F556-4616-B905-70D1E2EA90B9}">
  <ds:schemaRefs>
    <ds:schemaRef ds:uri="http://schemas.microsoft.com/sharepoint/v3/contenttype/forms"/>
  </ds:schemaRefs>
</ds:datastoreItem>
</file>

<file path=customXml/itemProps3.xml><?xml version="1.0" encoding="utf-8"?>
<ds:datastoreItem xmlns:ds="http://schemas.openxmlformats.org/officeDocument/2006/customXml" ds:itemID="{33C47E44-19EC-4778-8CDB-CE781D3A9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734a9-52cf-49e3-bcde-90df6cef9c0a"/>
    <ds:schemaRef ds:uri="fc8c83e1-e4af-414a-b3b5-326eb82e5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94</TotalTime>
  <Pages>5</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Alex (NHS KENT AND MEDWAY CCG)</dc:creator>
  <cp:keywords/>
  <dc:description/>
  <cp:lastModifiedBy>GAMAARACHCHI, Amali (NHS KENT AND MEDWAY ICB - 91Q)</cp:lastModifiedBy>
  <cp:revision>6</cp:revision>
  <dcterms:created xsi:type="dcterms:W3CDTF">2023-07-06T22:14:00Z</dcterms:created>
  <dcterms:modified xsi:type="dcterms:W3CDTF">2023-07-21T16:54:00Z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0x010100204A1C434E910648B716F1B8A4452C7C</vt:lpwstr>
  </property>
  <property fmtid="{D5CDD505-2E9C-101B-9397-08002B2CF9AE}" pid="3" name="GrammarlyDocumentId">
    <vt:lpwstr>f4161a74425e5ebcf788f0aa059d28dac0d206438781f5906adc4de6d7c97eb0</vt:lpwstr>
  </property>
</Properties>
</file>