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1CC" w:rsidRDefault="003B3CED">
      <w:pPr>
        <w:spacing w:after="0" w:line="240" w:lineRule="exact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Arial" w:hAnsi="Arial"/>
          <w:noProof/>
        </w:rPr>
        <w:drawing>
          <wp:anchor distT="0" distB="0" distL="114300" distR="114300" simplePos="0" relativeHeight="251693056" behindDoc="0" locked="0" layoutInCell="1" allowOverlap="1" wp14:anchorId="54770803" wp14:editId="757B4928">
            <wp:simplePos x="0" y="0"/>
            <wp:positionH relativeFrom="column">
              <wp:posOffset>4523740</wp:posOffset>
            </wp:positionH>
            <wp:positionV relativeFrom="paragraph">
              <wp:posOffset>-135255</wp:posOffset>
            </wp:positionV>
            <wp:extent cx="2063750" cy="636905"/>
            <wp:effectExtent l="0" t="0" r="0" b="0"/>
            <wp:wrapNone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31CC" w:rsidRDefault="00DF31CC">
      <w:pPr>
        <w:spacing w:after="0" w:line="540" w:lineRule="exact"/>
        <w:ind w:left="1437"/>
        <w:rPr>
          <w:sz w:val="24"/>
          <w:szCs w:val="24"/>
        </w:rPr>
      </w:pPr>
    </w:p>
    <w:p w:rsidR="00DF31CC" w:rsidRDefault="00DF31CC" w:rsidP="003B3CED">
      <w:pPr>
        <w:spacing w:after="0" w:line="310" w:lineRule="exact"/>
        <w:rPr>
          <w:sz w:val="24"/>
          <w:szCs w:val="24"/>
        </w:rPr>
      </w:pPr>
    </w:p>
    <w:p w:rsidR="001879C7" w:rsidRPr="00021F09" w:rsidRDefault="003B3CED" w:rsidP="003B3CED">
      <w:pPr>
        <w:tabs>
          <w:tab w:val="left" w:pos="10348"/>
        </w:tabs>
        <w:ind w:left="142" w:right="112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</w:t>
      </w:r>
      <w:r w:rsidR="001879C7" w:rsidRPr="00021F09">
        <w:rPr>
          <w:b/>
          <w:sz w:val="28"/>
          <w:szCs w:val="28"/>
        </w:rPr>
        <w:t xml:space="preserve">uidance for managing </w:t>
      </w:r>
      <w:r w:rsidR="001879C7">
        <w:rPr>
          <w:b/>
          <w:sz w:val="28"/>
          <w:szCs w:val="28"/>
        </w:rPr>
        <w:t xml:space="preserve">community lithium patients </w:t>
      </w:r>
      <w:r w:rsidR="001879C7" w:rsidRPr="00021F09">
        <w:rPr>
          <w:b/>
          <w:sz w:val="28"/>
          <w:szCs w:val="28"/>
        </w:rPr>
        <w:t>during COVID-19</w:t>
      </w:r>
    </w:p>
    <w:p w:rsidR="00DF31CC" w:rsidRDefault="00DF31CC">
      <w:pPr>
        <w:spacing w:after="0" w:line="310" w:lineRule="exact"/>
        <w:ind w:left="1437"/>
        <w:rPr>
          <w:sz w:val="24"/>
          <w:szCs w:val="24"/>
        </w:rPr>
      </w:pPr>
    </w:p>
    <w:p w:rsidR="001879C7" w:rsidRPr="00932101" w:rsidRDefault="001879C7" w:rsidP="003B3CED">
      <w:pPr>
        <w:spacing w:line="240" w:lineRule="auto"/>
        <w:jc w:val="both"/>
        <w:rPr>
          <w:b/>
          <w:u w:val="single"/>
        </w:rPr>
      </w:pPr>
      <w:r>
        <w:rPr>
          <w:b/>
          <w:u w:val="single"/>
        </w:rPr>
        <w:t>1</w:t>
      </w:r>
      <w:r w:rsidRPr="00932101">
        <w:rPr>
          <w:b/>
          <w:u w:val="single"/>
        </w:rPr>
        <w:t>.0 Background</w:t>
      </w:r>
    </w:p>
    <w:p w:rsidR="00DF31CC" w:rsidRPr="00932101" w:rsidRDefault="00DF31CC" w:rsidP="00932101">
      <w:pPr>
        <w:spacing w:before="196" w:after="0" w:line="240" w:lineRule="auto"/>
        <w:ind w:left="1437"/>
      </w:pPr>
    </w:p>
    <w:p w:rsidR="00DF31CC" w:rsidRDefault="00CC23DB" w:rsidP="003B3CED">
      <w:pPr>
        <w:pStyle w:val="NoSpacing"/>
        <w:tabs>
          <w:tab w:val="left" w:pos="10460"/>
        </w:tabs>
        <w:ind w:right="1268"/>
        <w:rPr>
          <w:spacing w:val="2"/>
        </w:rPr>
      </w:pPr>
      <w:r w:rsidRPr="00932101">
        <w:rPr>
          <w:w w:val="108"/>
        </w:rPr>
        <w:t xml:space="preserve">Lithium has a narrow therapeutic range, meaning the serum level needed for </w:t>
      </w:r>
      <w:r w:rsidRPr="00932101">
        <w:rPr>
          <w:spacing w:val="2"/>
        </w:rPr>
        <w:t>response and the level that causes t</w:t>
      </w:r>
      <w:r w:rsidR="00932101" w:rsidRPr="00932101">
        <w:rPr>
          <w:spacing w:val="2"/>
        </w:rPr>
        <w:t>oxicity are very close together</w:t>
      </w:r>
    </w:p>
    <w:p w:rsidR="00932101" w:rsidRPr="00932101" w:rsidRDefault="00932101" w:rsidP="00932101">
      <w:pPr>
        <w:pStyle w:val="NoSpacing"/>
        <w:ind w:left="1418" w:right="1268"/>
      </w:pPr>
    </w:p>
    <w:p w:rsidR="001879C7" w:rsidRDefault="00CC23DB" w:rsidP="00D329C3">
      <w:pPr>
        <w:pStyle w:val="NoSpacing"/>
        <w:ind w:right="537"/>
        <w:rPr>
          <w:bCs/>
          <w:color w:val="000000" w:themeColor="text1"/>
          <w:kern w:val="24"/>
        </w:rPr>
      </w:pPr>
      <w:r w:rsidRPr="00932101">
        <w:rPr>
          <w:spacing w:val="1"/>
        </w:rPr>
        <w:t>Target lit</w:t>
      </w:r>
      <w:r w:rsidR="001879C7" w:rsidRPr="00932101">
        <w:rPr>
          <w:spacing w:val="1"/>
        </w:rPr>
        <w:t xml:space="preserve">hium levels are 0.6-0.8 mmol/L. We would only go for levels </w:t>
      </w:r>
      <w:r w:rsidR="001879C7" w:rsidRPr="00932101">
        <w:rPr>
          <w:color w:val="000000" w:themeColor="text1"/>
          <w:kern w:val="24"/>
        </w:rPr>
        <w:t xml:space="preserve">between 0.8-1.0mmol/L in </w:t>
      </w:r>
      <w:r w:rsidR="001879C7" w:rsidRPr="00932101">
        <w:rPr>
          <w:bCs/>
          <w:color w:val="000000" w:themeColor="text1"/>
          <w:kern w:val="24"/>
        </w:rPr>
        <w:t>patients who have relapsed previously on lithium or have sub-threshold symp</w:t>
      </w:r>
      <w:r w:rsidR="00932101" w:rsidRPr="00932101">
        <w:rPr>
          <w:bCs/>
          <w:color w:val="000000" w:themeColor="text1"/>
          <w:kern w:val="24"/>
        </w:rPr>
        <w:t>toms with functional impairment</w:t>
      </w:r>
    </w:p>
    <w:p w:rsidR="00932101" w:rsidRPr="00932101" w:rsidRDefault="00932101" w:rsidP="00932101">
      <w:pPr>
        <w:pStyle w:val="NoSpacing"/>
        <w:ind w:left="1418" w:right="1268"/>
        <w:rPr>
          <w:spacing w:val="1"/>
        </w:rPr>
      </w:pPr>
    </w:p>
    <w:p w:rsidR="00DF31CC" w:rsidRPr="00932101" w:rsidRDefault="00CC23DB" w:rsidP="00D329C3">
      <w:pPr>
        <w:pStyle w:val="NoSpacing"/>
        <w:ind w:right="537"/>
      </w:pPr>
      <w:r w:rsidRPr="00932101">
        <w:t xml:space="preserve">Recent reports from Wuhan, China suggested that “kidney disease on admission and </w:t>
      </w:r>
      <w:r w:rsidR="00932101">
        <w:rPr>
          <w:spacing w:val="-3"/>
        </w:rPr>
        <w:t xml:space="preserve">acute kidney </w:t>
      </w:r>
      <w:r w:rsidRPr="00932101">
        <w:rPr>
          <w:spacing w:val="-3"/>
        </w:rPr>
        <w:t xml:space="preserve">injury (AKI) during hospitalization were associated with an increased risk </w:t>
      </w:r>
      <w:r w:rsidR="00932101">
        <w:t xml:space="preserve"> </w:t>
      </w:r>
      <w:r w:rsidR="00932101">
        <w:rPr>
          <w:spacing w:val="3"/>
        </w:rPr>
        <w:t xml:space="preserve">of in-hospital death” in </w:t>
      </w:r>
      <w:r w:rsidRPr="00932101">
        <w:rPr>
          <w:spacing w:val="3"/>
        </w:rPr>
        <w:t xml:space="preserve">patients with COVID-19 disease. Therefore, the possible </w:t>
      </w:r>
      <w:r w:rsidRPr="00932101">
        <w:rPr>
          <w:spacing w:val="-2"/>
        </w:rPr>
        <w:t xml:space="preserve">effect of lithium on kidney function must be borne in mind when treating patients who </w:t>
      </w:r>
      <w:r w:rsidR="00932101" w:rsidRPr="00932101">
        <w:rPr>
          <w:spacing w:val="-2"/>
        </w:rPr>
        <w:t>develop the disease</w:t>
      </w:r>
    </w:p>
    <w:p w:rsidR="001879C7" w:rsidRPr="00932101" w:rsidRDefault="001879C7" w:rsidP="00932101">
      <w:pPr>
        <w:spacing w:before="195" w:after="0" w:line="240" w:lineRule="auto"/>
        <w:ind w:left="1437" w:right="1244"/>
        <w:jc w:val="both"/>
        <w:rPr>
          <w:rFonts w:cs="Book Antiqua"/>
          <w:color w:val="000000"/>
          <w:spacing w:val="-2"/>
        </w:rPr>
      </w:pPr>
    </w:p>
    <w:p w:rsidR="001879C7" w:rsidRPr="003B3CED" w:rsidRDefault="001879C7" w:rsidP="003B3CED">
      <w:pPr>
        <w:spacing w:before="195" w:after="0" w:line="240" w:lineRule="auto"/>
        <w:ind w:right="-30"/>
        <w:jc w:val="both"/>
        <w:rPr>
          <w:rFonts w:cs="Book Antiqua"/>
          <w:b/>
          <w:color w:val="000000"/>
          <w:spacing w:val="-2"/>
          <w:u w:val="single"/>
        </w:rPr>
      </w:pPr>
      <w:r w:rsidRPr="003B3CED">
        <w:rPr>
          <w:rFonts w:cs="Book Antiqua"/>
          <w:b/>
          <w:color w:val="000000"/>
          <w:spacing w:val="-2"/>
          <w:u w:val="single"/>
        </w:rPr>
        <w:t>2.0 Advice to Patients</w:t>
      </w:r>
    </w:p>
    <w:p w:rsidR="001879C7" w:rsidRPr="00932101" w:rsidRDefault="001879C7" w:rsidP="003B3CED">
      <w:pPr>
        <w:tabs>
          <w:tab w:val="left" w:pos="1418"/>
        </w:tabs>
        <w:spacing w:before="259" w:after="0" w:line="240" w:lineRule="auto"/>
      </w:pPr>
      <w:r w:rsidRPr="00932101">
        <w:rPr>
          <w:rFonts w:cs="Book Antiqua"/>
          <w:color w:val="000000"/>
          <w:spacing w:val="-1"/>
        </w:rPr>
        <w:t>Remind all patients:</w:t>
      </w:r>
    </w:p>
    <w:p w:rsidR="003B3CED" w:rsidRPr="003B3CED" w:rsidRDefault="001879C7" w:rsidP="003B3CED">
      <w:pPr>
        <w:pStyle w:val="ListParagraph"/>
        <w:numPr>
          <w:ilvl w:val="0"/>
          <w:numId w:val="2"/>
        </w:numPr>
        <w:tabs>
          <w:tab w:val="left" w:pos="284"/>
        </w:tabs>
        <w:spacing w:before="243" w:after="0" w:line="240" w:lineRule="auto"/>
      </w:pPr>
      <w:r w:rsidRPr="003B3CED">
        <w:rPr>
          <w:rFonts w:cs="Book Antiqua"/>
          <w:color w:val="000000"/>
          <w:spacing w:val="-1"/>
        </w:rPr>
        <w:t>To seek medical attention if they develop diarrhoea or vomiting, or feel acutely unwell</w:t>
      </w:r>
      <w:r w:rsidR="003B3CED">
        <w:t xml:space="preserve"> </w:t>
      </w:r>
      <w:r w:rsidR="003B3CED">
        <w:rPr>
          <w:rFonts w:cs="Book Antiqua"/>
          <w:color w:val="000000"/>
        </w:rPr>
        <w:t>for any reason</w:t>
      </w:r>
    </w:p>
    <w:p w:rsidR="003B3CED" w:rsidRPr="003B3CED" w:rsidRDefault="003B3CED" w:rsidP="003B3CED">
      <w:pPr>
        <w:pStyle w:val="ListParagraph"/>
        <w:tabs>
          <w:tab w:val="left" w:pos="284"/>
        </w:tabs>
        <w:spacing w:before="243" w:after="0" w:line="240" w:lineRule="auto"/>
      </w:pPr>
    </w:p>
    <w:p w:rsidR="003B3CED" w:rsidRPr="003B3CED" w:rsidRDefault="001879C7" w:rsidP="00D329C3">
      <w:pPr>
        <w:pStyle w:val="ListParagraph"/>
        <w:numPr>
          <w:ilvl w:val="0"/>
          <w:numId w:val="2"/>
        </w:numPr>
        <w:tabs>
          <w:tab w:val="left" w:pos="284"/>
        </w:tabs>
        <w:spacing w:before="243" w:after="0" w:line="240" w:lineRule="auto"/>
        <w:ind w:right="537"/>
      </w:pPr>
      <w:r w:rsidRPr="003B3CED">
        <w:rPr>
          <w:rFonts w:cs="Book Antiqua"/>
          <w:color w:val="000000"/>
          <w:spacing w:val="1"/>
        </w:rPr>
        <w:t>To</w:t>
      </w:r>
      <w:r w:rsidR="00D27AA5" w:rsidRPr="003B3CED">
        <w:rPr>
          <w:rFonts w:cs="Book Antiqua"/>
          <w:color w:val="000000"/>
          <w:spacing w:val="1"/>
        </w:rPr>
        <w:t xml:space="preserve"> ensure they maintain adequate</w:t>
      </w:r>
      <w:r w:rsidRPr="003B3CED">
        <w:rPr>
          <w:rFonts w:cs="Book Antiqua"/>
          <w:color w:val="000000"/>
          <w:spacing w:val="1"/>
        </w:rPr>
        <w:t xml:space="preserve"> fluid intake, particularly if they have a fever, if they are</w:t>
      </w:r>
      <w:r w:rsidR="003B3CED" w:rsidRPr="003B3CED">
        <w:rPr>
          <w:rFonts w:cs="Book Antiqua"/>
          <w:color w:val="000000"/>
          <w:spacing w:val="1"/>
        </w:rPr>
        <w:t xml:space="preserve"> </w:t>
      </w:r>
      <w:r w:rsidRPr="003B3CED">
        <w:rPr>
          <w:rFonts w:cs="Book Antiqua"/>
          <w:color w:val="000000"/>
          <w:spacing w:val="1"/>
        </w:rPr>
        <w:t>immobile for long periods or if they develop a chest infection or pneumonia</w:t>
      </w:r>
    </w:p>
    <w:p w:rsidR="003B3CED" w:rsidRPr="003B3CED" w:rsidRDefault="003B3CED" w:rsidP="003B3CED">
      <w:pPr>
        <w:pStyle w:val="ListParagraph"/>
        <w:tabs>
          <w:tab w:val="left" w:pos="284"/>
        </w:tabs>
        <w:spacing w:before="243" w:after="0" w:line="240" w:lineRule="auto"/>
      </w:pPr>
    </w:p>
    <w:p w:rsidR="003B3CED" w:rsidRPr="003B3CED" w:rsidRDefault="00D27AA5" w:rsidP="003B3CED">
      <w:pPr>
        <w:pStyle w:val="ListParagraph"/>
        <w:numPr>
          <w:ilvl w:val="0"/>
          <w:numId w:val="2"/>
        </w:numPr>
        <w:tabs>
          <w:tab w:val="left" w:pos="284"/>
        </w:tabs>
        <w:spacing w:before="243" w:after="0" w:line="240" w:lineRule="auto"/>
      </w:pPr>
      <w:r w:rsidRPr="003B3CED">
        <w:rPr>
          <w:rFonts w:cs="Book Antiqua"/>
          <w:color w:val="000000"/>
          <w:spacing w:val="1"/>
        </w:rPr>
        <w:t xml:space="preserve">To inform their prescriber </w:t>
      </w:r>
      <w:r w:rsidR="001879C7" w:rsidRPr="003B3CED">
        <w:rPr>
          <w:rFonts w:cs="Book Antiqua"/>
          <w:color w:val="000000"/>
          <w:spacing w:val="1"/>
        </w:rPr>
        <w:t>of any changes to their drug treatment</w:t>
      </w:r>
    </w:p>
    <w:p w:rsidR="003B3CED" w:rsidRPr="003B3CED" w:rsidRDefault="003B3CED" w:rsidP="003B3CED">
      <w:pPr>
        <w:pStyle w:val="ListParagraph"/>
        <w:tabs>
          <w:tab w:val="left" w:pos="284"/>
        </w:tabs>
        <w:spacing w:before="243" w:after="0" w:line="240" w:lineRule="auto"/>
      </w:pPr>
    </w:p>
    <w:p w:rsidR="003B3CED" w:rsidRPr="003B3CED" w:rsidRDefault="001879C7" w:rsidP="00D329C3">
      <w:pPr>
        <w:pStyle w:val="ListParagraph"/>
        <w:numPr>
          <w:ilvl w:val="0"/>
          <w:numId w:val="2"/>
        </w:numPr>
        <w:tabs>
          <w:tab w:val="left" w:pos="284"/>
        </w:tabs>
        <w:spacing w:before="243" w:after="0" w:line="240" w:lineRule="auto"/>
        <w:ind w:right="537"/>
      </w:pPr>
      <w:r w:rsidRPr="003B3CED">
        <w:rPr>
          <w:rFonts w:cs="Book Antiqua"/>
          <w:color w:val="000000"/>
          <w:spacing w:val="1"/>
        </w:rPr>
        <w:t>Not to take over</w:t>
      </w:r>
      <w:r w:rsidRPr="003B3CED">
        <w:rPr>
          <w:rFonts w:cs="Cambria Math"/>
          <w:color w:val="000000"/>
          <w:spacing w:val="1"/>
        </w:rPr>
        <w:t>-</w:t>
      </w:r>
      <w:r w:rsidRPr="003B3CED">
        <w:rPr>
          <w:rFonts w:cs="Book Antiqua"/>
          <w:color w:val="000000"/>
          <w:spacing w:val="1"/>
        </w:rPr>
        <w:t>the</w:t>
      </w:r>
      <w:r w:rsidRPr="003B3CED">
        <w:rPr>
          <w:rFonts w:cs="Cambria Math"/>
          <w:color w:val="000000"/>
          <w:spacing w:val="1"/>
        </w:rPr>
        <w:t>-</w:t>
      </w:r>
      <w:r w:rsidRPr="003B3CED">
        <w:rPr>
          <w:rFonts w:cs="Book Antiqua"/>
          <w:color w:val="000000"/>
          <w:spacing w:val="1"/>
        </w:rPr>
        <w:t>counter non</w:t>
      </w:r>
      <w:r w:rsidRPr="003B3CED">
        <w:rPr>
          <w:rFonts w:cs="Cambria Math"/>
          <w:color w:val="000000"/>
          <w:spacing w:val="1"/>
        </w:rPr>
        <w:t>-</w:t>
      </w:r>
      <w:r w:rsidRPr="003B3CED">
        <w:rPr>
          <w:rFonts w:cs="Book Antiqua"/>
          <w:color w:val="000000"/>
          <w:spacing w:val="1"/>
        </w:rPr>
        <w:t>steroidal anti</w:t>
      </w:r>
      <w:r w:rsidRPr="003B3CED">
        <w:rPr>
          <w:rFonts w:cs="Cambria Math"/>
          <w:color w:val="000000"/>
          <w:spacing w:val="1"/>
        </w:rPr>
        <w:t>-</w:t>
      </w:r>
      <w:r w:rsidRPr="003B3CED">
        <w:rPr>
          <w:rFonts w:cs="Book Antiqua"/>
          <w:color w:val="000000"/>
          <w:spacing w:val="1"/>
        </w:rPr>
        <w:t>inflammatory drugs (e.g. ibuprofen),</w:t>
      </w:r>
      <w:r w:rsidR="003B3CED">
        <w:t xml:space="preserve"> </w:t>
      </w:r>
      <w:r w:rsidR="00932101" w:rsidRPr="003B3CED">
        <w:rPr>
          <w:rFonts w:cs="Book Antiqua"/>
          <w:color w:val="000000"/>
          <w:spacing w:val="2"/>
        </w:rPr>
        <w:t>but to take paracetamol instead</w:t>
      </w:r>
    </w:p>
    <w:p w:rsidR="003B3CED" w:rsidRPr="003B3CED" w:rsidRDefault="003B3CED" w:rsidP="003B3CED">
      <w:pPr>
        <w:pStyle w:val="ListParagraph"/>
        <w:tabs>
          <w:tab w:val="left" w:pos="284"/>
        </w:tabs>
        <w:spacing w:before="243" w:after="0" w:line="240" w:lineRule="auto"/>
      </w:pPr>
    </w:p>
    <w:p w:rsidR="001879C7" w:rsidRPr="00932101" w:rsidRDefault="001879C7" w:rsidP="003B3CED">
      <w:pPr>
        <w:pStyle w:val="ListParagraph"/>
        <w:numPr>
          <w:ilvl w:val="0"/>
          <w:numId w:val="2"/>
        </w:numPr>
        <w:tabs>
          <w:tab w:val="left" w:pos="284"/>
        </w:tabs>
        <w:spacing w:before="243" w:after="0" w:line="240" w:lineRule="auto"/>
      </w:pPr>
      <w:r w:rsidRPr="003B3CED">
        <w:rPr>
          <w:rFonts w:cs="Book Antiqua"/>
          <w:color w:val="000000"/>
        </w:rPr>
        <w:t>Not to stop lithium a</w:t>
      </w:r>
      <w:r w:rsidR="00932101" w:rsidRPr="003B3CED">
        <w:rPr>
          <w:rFonts w:cs="Book Antiqua"/>
          <w:color w:val="000000"/>
        </w:rPr>
        <w:t>bruptly unless advised to do so</w:t>
      </w:r>
    </w:p>
    <w:p w:rsidR="00BF3D52" w:rsidRPr="00932101" w:rsidRDefault="00BF3D52" w:rsidP="00932101">
      <w:pPr>
        <w:spacing w:before="195" w:after="0" w:line="240" w:lineRule="auto"/>
        <w:ind w:left="1437" w:right="1244"/>
        <w:jc w:val="both"/>
        <w:rPr>
          <w:rFonts w:cs="Book Antiqua"/>
          <w:b/>
          <w:color w:val="000000"/>
          <w:spacing w:val="-2"/>
        </w:rPr>
      </w:pPr>
    </w:p>
    <w:p w:rsidR="00BF3D52" w:rsidRPr="003B3CED" w:rsidRDefault="00BF3D52" w:rsidP="003B3CED">
      <w:pPr>
        <w:spacing w:before="195" w:after="0" w:line="240" w:lineRule="auto"/>
        <w:ind w:right="-30"/>
        <w:jc w:val="both"/>
        <w:rPr>
          <w:rFonts w:cs="Book Antiqua"/>
          <w:b/>
          <w:color w:val="000000"/>
          <w:spacing w:val="-2"/>
          <w:u w:val="single"/>
        </w:rPr>
      </w:pPr>
      <w:r w:rsidRPr="003B3CED">
        <w:rPr>
          <w:rFonts w:cs="Book Antiqua"/>
          <w:b/>
          <w:color w:val="000000"/>
          <w:spacing w:val="-2"/>
          <w:u w:val="single"/>
        </w:rPr>
        <w:t xml:space="preserve">3.0 Other considerations </w:t>
      </w:r>
    </w:p>
    <w:p w:rsidR="00DF31CC" w:rsidRPr="00932101" w:rsidRDefault="00BF3D52" w:rsidP="00D329C3">
      <w:pPr>
        <w:spacing w:before="195" w:after="0" w:line="240" w:lineRule="auto"/>
        <w:ind w:right="537"/>
        <w:jc w:val="both"/>
        <w:rPr>
          <w:rFonts w:cs="Book Antiqua"/>
          <w:color w:val="000000"/>
          <w:spacing w:val="-1"/>
        </w:rPr>
      </w:pPr>
      <w:r w:rsidRPr="00932101">
        <w:rPr>
          <w:rFonts w:cs="Book Antiqua"/>
          <w:color w:val="000000"/>
          <w:spacing w:val="1"/>
        </w:rPr>
        <w:t>Drug interactions are a</w:t>
      </w:r>
      <w:r w:rsidR="00CC23DB" w:rsidRPr="00932101">
        <w:rPr>
          <w:rFonts w:cs="Book Antiqua"/>
          <w:color w:val="000000"/>
          <w:spacing w:val="1"/>
        </w:rPr>
        <w:t xml:space="preserve">n important cause of increased lithium levels and subsequent </w:t>
      </w:r>
      <w:r w:rsidR="00CC23DB" w:rsidRPr="00932101">
        <w:br/>
      </w:r>
      <w:r w:rsidR="00CC23DB" w:rsidRPr="00932101">
        <w:rPr>
          <w:rFonts w:cs="Book Antiqua"/>
          <w:color w:val="000000"/>
          <w:spacing w:val="2"/>
        </w:rPr>
        <w:t xml:space="preserve">decline in renal function. NSAIDs, diuretics and ACE inhibitors/ARBs are the most </w:t>
      </w:r>
      <w:r w:rsidR="00CC23DB" w:rsidRPr="00932101">
        <w:br/>
      </w:r>
      <w:r w:rsidR="00CC23DB" w:rsidRPr="00932101">
        <w:rPr>
          <w:rFonts w:cs="Book Antiqua"/>
          <w:color w:val="000000"/>
          <w:spacing w:val="-1"/>
        </w:rPr>
        <w:t>common dr</w:t>
      </w:r>
      <w:r w:rsidR="00932101" w:rsidRPr="00932101">
        <w:rPr>
          <w:rFonts w:cs="Book Antiqua"/>
          <w:color w:val="000000"/>
          <w:spacing w:val="-1"/>
        </w:rPr>
        <w:t>ug causes of lithium toxicity.</w:t>
      </w:r>
    </w:p>
    <w:p w:rsidR="003B3CED" w:rsidRDefault="00CC23DB" w:rsidP="003B3CED">
      <w:pPr>
        <w:spacing w:before="178" w:after="0" w:line="240" w:lineRule="auto"/>
        <w:ind w:right="-30"/>
        <w:jc w:val="both"/>
        <w:rPr>
          <w:rFonts w:cs="Book Antiqua"/>
          <w:color w:val="000000"/>
          <w:spacing w:val="-2"/>
        </w:rPr>
      </w:pPr>
      <w:r w:rsidRPr="00932101">
        <w:rPr>
          <w:rFonts w:cs="Book Antiqua"/>
          <w:color w:val="000000"/>
          <w:spacing w:val="-2"/>
        </w:rPr>
        <w:t xml:space="preserve">Dehydration or reduced fluid intake is another important cause of lithium toxicity </w:t>
      </w:r>
    </w:p>
    <w:p w:rsidR="00DF31CC" w:rsidRPr="00932101" w:rsidRDefault="00CC23DB" w:rsidP="00D329C3">
      <w:pPr>
        <w:spacing w:before="178" w:after="0" w:line="240" w:lineRule="auto"/>
        <w:ind w:right="537"/>
        <w:jc w:val="both"/>
        <w:rPr>
          <w:rFonts w:cs="Book Antiqua"/>
          <w:color w:val="000000"/>
          <w:spacing w:val="-2"/>
        </w:rPr>
      </w:pPr>
      <w:r w:rsidRPr="00932101">
        <w:rPr>
          <w:rFonts w:cs="Book Antiqua"/>
          <w:color w:val="000000"/>
          <w:spacing w:val="-2"/>
        </w:rPr>
        <w:t xml:space="preserve">In many cases of slowly developing lithium toxicity, symptoms can be relatively bland, </w:t>
      </w:r>
      <w:r w:rsidRPr="00932101">
        <w:br/>
      </w:r>
      <w:r w:rsidRPr="00932101">
        <w:rPr>
          <w:rFonts w:cs="Book Antiqua"/>
          <w:color w:val="000000"/>
        </w:rPr>
        <w:t xml:space="preserve">non-specific or non-existent. Signs of moderate to severe lithium toxicity may include </w:t>
      </w:r>
      <w:r w:rsidRPr="00932101">
        <w:br/>
      </w:r>
      <w:r w:rsidRPr="00932101">
        <w:rPr>
          <w:rFonts w:cs="Book Antiqua"/>
          <w:color w:val="000000"/>
        </w:rPr>
        <w:t>diarrhoea, vomiting, mental state changes, coars</w:t>
      </w:r>
      <w:r w:rsidR="00932101" w:rsidRPr="00932101">
        <w:rPr>
          <w:rFonts w:cs="Book Antiqua"/>
          <w:color w:val="000000"/>
        </w:rPr>
        <w:t>e tremor or falls due to ataxia</w:t>
      </w:r>
    </w:p>
    <w:p w:rsidR="00362B3C" w:rsidRDefault="00362B3C" w:rsidP="00932101">
      <w:pPr>
        <w:spacing w:after="0" w:line="240" w:lineRule="auto"/>
      </w:pPr>
    </w:p>
    <w:p w:rsidR="00362B3C" w:rsidRPr="00362B3C" w:rsidRDefault="00362B3C" w:rsidP="00362B3C"/>
    <w:p w:rsidR="00DF31CC" w:rsidRDefault="00DF31CC" w:rsidP="00D329C3">
      <w:pPr>
        <w:spacing w:after="0" w:line="240" w:lineRule="auto"/>
      </w:pPr>
    </w:p>
    <w:p w:rsidR="00D329C3" w:rsidRDefault="00D329C3" w:rsidP="00D329C3">
      <w:pPr>
        <w:spacing w:after="0" w:line="240" w:lineRule="auto"/>
      </w:pPr>
    </w:p>
    <w:p w:rsidR="00D329C3" w:rsidRPr="00932101" w:rsidRDefault="00D329C3" w:rsidP="00D329C3">
      <w:pPr>
        <w:spacing w:after="0" w:line="240" w:lineRule="auto"/>
      </w:pPr>
    </w:p>
    <w:p w:rsidR="00DF31CC" w:rsidRPr="00932101" w:rsidRDefault="00DF31CC" w:rsidP="00932101">
      <w:pPr>
        <w:spacing w:after="0" w:line="240" w:lineRule="auto"/>
        <w:ind w:left="1437"/>
      </w:pPr>
    </w:p>
    <w:p w:rsidR="00DF31CC" w:rsidRPr="00D329C3" w:rsidRDefault="00BF3D52" w:rsidP="00D329C3">
      <w:pPr>
        <w:spacing w:after="0" w:line="240" w:lineRule="auto"/>
        <w:rPr>
          <w:b/>
          <w:u w:val="single"/>
        </w:rPr>
      </w:pPr>
      <w:r w:rsidRPr="00D329C3">
        <w:rPr>
          <w:b/>
          <w:u w:val="single"/>
        </w:rPr>
        <w:lastRenderedPageBreak/>
        <w:t xml:space="preserve">4.0 Advice to prescribers </w:t>
      </w:r>
    </w:p>
    <w:p w:rsidR="00DF31CC" w:rsidRPr="00932101" w:rsidRDefault="00CC23DB" w:rsidP="00D329C3">
      <w:pPr>
        <w:spacing w:before="240" w:after="0" w:line="240" w:lineRule="auto"/>
        <w:rPr>
          <w:u w:val="single"/>
        </w:rPr>
      </w:pPr>
      <w:r w:rsidRPr="00932101">
        <w:rPr>
          <w:rFonts w:cs="Book Antiqua"/>
          <w:color w:val="000000"/>
          <w:spacing w:val="4"/>
          <w:u w:val="single"/>
        </w:rPr>
        <w:t>Patients without symptoms of COVID-19</w:t>
      </w:r>
    </w:p>
    <w:p w:rsidR="00DF31CC" w:rsidRPr="00932101" w:rsidRDefault="00CC23DB" w:rsidP="00D329C3">
      <w:pPr>
        <w:spacing w:before="197" w:after="0" w:line="240" w:lineRule="auto"/>
        <w:ind w:right="537"/>
        <w:jc w:val="both"/>
      </w:pPr>
      <w:r w:rsidRPr="00932101">
        <w:rPr>
          <w:rFonts w:cs="Book Antiqua"/>
          <w:color w:val="000000"/>
          <w:spacing w:val="1"/>
        </w:rPr>
        <w:t xml:space="preserve">Patients who are self-isolating should not attend the clinic or GP surgery for routine </w:t>
      </w:r>
      <w:r w:rsidRPr="00932101">
        <w:rPr>
          <w:rFonts w:cs="Book Antiqua"/>
          <w:color w:val="000000"/>
          <w:spacing w:val="-1"/>
        </w:rPr>
        <w:t>lithium monitoring tests. The appointment should be re-booked for a later date unless the patient falls under the high-risk group outlined below.</w:t>
      </w:r>
    </w:p>
    <w:p w:rsidR="00DF31CC" w:rsidRPr="00932101" w:rsidRDefault="00CC23DB" w:rsidP="00D329C3">
      <w:pPr>
        <w:spacing w:before="244" w:after="0" w:line="240" w:lineRule="auto"/>
        <w:rPr>
          <w:u w:val="single"/>
        </w:rPr>
      </w:pPr>
      <w:r w:rsidRPr="00932101">
        <w:rPr>
          <w:rFonts w:cs="Book Antiqua"/>
          <w:color w:val="000000"/>
          <w:spacing w:val="3"/>
          <w:u w:val="single"/>
        </w:rPr>
        <w:t>Patients with symptoms of COVID-19</w:t>
      </w:r>
    </w:p>
    <w:p w:rsidR="00DF31CC" w:rsidRPr="00932101" w:rsidRDefault="00CC23DB" w:rsidP="00D329C3">
      <w:pPr>
        <w:spacing w:before="235" w:after="0" w:line="240" w:lineRule="auto"/>
        <w:ind w:right="537"/>
        <w:jc w:val="both"/>
      </w:pPr>
      <w:r w:rsidRPr="00932101">
        <w:rPr>
          <w:rFonts w:cs="Book Antiqua"/>
          <w:color w:val="000000"/>
          <w:spacing w:val="2"/>
        </w:rPr>
        <w:t xml:space="preserve">Patients presenting with new cough and/or fever: </w:t>
      </w:r>
      <w:r w:rsidR="00BF3D52" w:rsidRPr="00932101">
        <w:rPr>
          <w:rFonts w:cs="Book Antiqua"/>
          <w:color w:val="000000"/>
          <w:spacing w:val="2"/>
        </w:rPr>
        <w:t xml:space="preserve">advice the prescriber that the </w:t>
      </w:r>
      <w:r w:rsidRPr="00932101">
        <w:rPr>
          <w:rFonts w:cs="Book Antiqua"/>
          <w:color w:val="000000"/>
          <w:spacing w:val="2"/>
        </w:rPr>
        <w:t xml:space="preserve">patient </w:t>
      </w:r>
      <w:r w:rsidR="00BF3D52" w:rsidRPr="00932101">
        <w:rPr>
          <w:rFonts w:cs="Book Antiqua"/>
          <w:color w:val="000000"/>
          <w:spacing w:val="2"/>
        </w:rPr>
        <w:t xml:space="preserve">should </w:t>
      </w:r>
      <w:r w:rsidRPr="00932101">
        <w:rPr>
          <w:rFonts w:cs="Book Antiqua"/>
          <w:color w:val="000000"/>
          <w:spacing w:val="2"/>
        </w:rPr>
        <w:t xml:space="preserve">continue </w:t>
      </w:r>
      <w:r w:rsidRPr="00932101">
        <w:rPr>
          <w:rFonts w:cs="Book Antiqua"/>
          <w:color w:val="000000"/>
          <w:w w:val="104"/>
        </w:rPr>
        <w:t xml:space="preserve">taking lithium but </w:t>
      </w:r>
      <w:r w:rsidR="00BF3D52" w:rsidRPr="00932101">
        <w:rPr>
          <w:rFonts w:cs="Book Antiqua"/>
          <w:color w:val="000000"/>
          <w:w w:val="104"/>
        </w:rPr>
        <w:t xml:space="preserve">advice that a </w:t>
      </w:r>
      <w:r w:rsidRPr="00932101">
        <w:rPr>
          <w:rFonts w:cs="Book Antiqua"/>
          <w:color w:val="000000"/>
          <w:w w:val="104"/>
        </w:rPr>
        <w:t>blood sample for lithium serum level and U&amp;Es</w:t>
      </w:r>
      <w:r w:rsidR="00BF3D52" w:rsidRPr="00932101">
        <w:rPr>
          <w:rFonts w:cs="Book Antiqua"/>
          <w:color w:val="000000"/>
          <w:w w:val="104"/>
        </w:rPr>
        <w:t xml:space="preserve"> is taken</w:t>
      </w:r>
      <w:r w:rsidRPr="00932101">
        <w:rPr>
          <w:rFonts w:cs="Book Antiqua"/>
          <w:color w:val="000000"/>
          <w:w w:val="104"/>
        </w:rPr>
        <w:t xml:space="preserve">. Remind </w:t>
      </w:r>
      <w:r w:rsidRPr="00932101">
        <w:rPr>
          <w:rFonts w:cs="Book Antiqua"/>
          <w:color w:val="000000"/>
          <w:spacing w:val="1"/>
        </w:rPr>
        <w:t>patient of need to maintain their fluid intake. If lithium levels are elevated or kidney functi</w:t>
      </w:r>
      <w:r w:rsidR="00BF3D52" w:rsidRPr="00932101">
        <w:rPr>
          <w:rFonts w:cs="Book Antiqua"/>
          <w:color w:val="000000"/>
          <w:spacing w:val="1"/>
        </w:rPr>
        <w:t xml:space="preserve">on is compromised, seek urgent Consultant </w:t>
      </w:r>
      <w:r w:rsidRPr="00932101">
        <w:rPr>
          <w:rFonts w:cs="Book Antiqua"/>
          <w:color w:val="000000"/>
          <w:spacing w:val="1"/>
        </w:rPr>
        <w:t>advice.</w:t>
      </w:r>
    </w:p>
    <w:p w:rsidR="00DF31CC" w:rsidRPr="00932101" w:rsidRDefault="00CC23DB" w:rsidP="00D329C3">
      <w:pPr>
        <w:spacing w:before="188" w:after="0" w:line="240" w:lineRule="auto"/>
        <w:ind w:right="537"/>
        <w:jc w:val="both"/>
      </w:pPr>
      <w:r w:rsidRPr="00932101">
        <w:rPr>
          <w:rFonts w:cs="Book Antiqua"/>
          <w:color w:val="000000"/>
          <w:w w:val="107"/>
        </w:rPr>
        <w:t xml:space="preserve">If there is any delay in obtaining a lithium level, it may be reasonable to </w:t>
      </w:r>
      <w:r w:rsidR="00BF3D52" w:rsidRPr="00932101">
        <w:rPr>
          <w:rFonts w:cs="Book Antiqua"/>
          <w:color w:val="000000"/>
          <w:w w:val="107"/>
        </w:rPr>
        <w:t xml:space="preserve">consider </w:t>
      </w:r>
      <w:r w:rsidR="00932101" w:rsidRPr="00932101">
        <w:rPr>
          <w:rFonts w:cs="Book Antiqua"/>
          <w:color w:val="000000"/>
          <w:w w:val="107"/>
        </w:rPr>
        <w:t>pausing treatment</w:t>
      </w:r>
      <w:r w:rsidR="00BF3D52" w:rsidRPr="00932101">
        <w:rPr>
          <w:rFonts w:cs="Book Antiqua"/>
          <w:color w:val="000000"/>
          <w:w w:val="102"/>
        </w:rPr>
        <w:t xml:space="preserve"> after discussion with prescriber </w:t>
      </w:r>
      <w:r w:rsidRPr="00932101">
        <w:rPr>
          <w:rFonts w:cs="Book Antiqua"/>
          <w:color w:val="000000"/>
          <w:w w:val="102"/>
        </w:rPr>
        <w:t>and await the result of the lithium level. Blood levels should govern on-</w:t>
      </w:r>
      <w:r w:rsidRPr="00932101">
        <w:rPr>
          <w:rFonts w:cs="Book Antiqua"/>
          <w:color w:val="000000"/>
          <w:spacing w:val="1"/>
        </w:rPr>
        <w:t xml:space="preserve">going treatment and the dose used. Be aware that sudden discontinuation of lithium can be associated with a rapid relapse of symptoms, particularly mania. Use caution </w:t>
      </w:r>
      <w:r w:rsidRPr="00932101">
        <w:rPr>
          <w:rFonts w:cs="Book Antiqua"/>
          <w:color w:val="000000"/>
          <w:spacing w:val="-1"/>
        </w:rPr>
        <w:t>until the patient has regained physical health, with increased frequency of monitoring of lithium levels and renal function.</w:t>
      </w:r>
    </w:p>
    <w:p w:rsidR="00BF3D52" w:rsidRPr="00932101" w:rsidRDefault="00CC23DB" w:rsidP="00D329C3">
      <w:pPr>
        <w:spacing w:before="174" w:after="0" w:line="240" w:lineRule="auto"/>
        <w:ind w:right="537"/>
        <w:jc w:val="both"/>
        <w:rPr>
          <w:rFonts w:cs="Book Antiqua"/>
          <w:color w:val="000000"/>
          <w:spacing w:val="1"/>
        </w:rPr>
      </w:pPr>
      <w:r w:rsidRPr="00932101">
        <w:rPr>
          <w:rFonts w:cs="Book Antiqua"/>
          <w:color w:val="000000"/>
          <w:spacing w:val="2"/>
          <w:u w:val="single"/>
        </w:rPr>
        <w:t xml:space="preserve">Patients presenting with flu-like/COVID-19 symptoms and symptoms of </w:t>
      </w:r>
      <w:r w:rsidRPr="00932101">
        <w:rPr>
          <w:rFonts w:cs="Book Antiqua"/>
          <w:color w:val="000000"/>
          <w:spacing w:val="1"/>
          <w:u w:val="single"/>
        </w:rPr>
        <w:t>lithium toxicity (e.g. diarrhoea, vomiting, tremor, mental state changes, or falls):</w:t>
      </w:r>
      <w:r w:rsidRPr="00932101">
        <w:rPr>
          <w:rFonts w:cs="Book Antiqua"/>
          <w:color w:val="000000"/>
          <w:spacing w:val="1"/>
        </w:rPr>
        <w:t xml:space="preserve"> </w:t>
      </w:r>
    </w:p>
    <w:p w:rsidR="00BF3D52" w:rsidRPr="00932101" w:rsidRDefault="00BF3D52" w:rsidP="00932101">
      <w:pPr>
        <w:spacing w:before="174" w:after="0" w:line="240" w:lineRule="auto"/>
        <w:ind w:right="1355"/>
        <w:jc w:val="both"/>
        <w:rPr>
          <w:rFonts w:cs="Book Antiqua"/>
          <w:color w:val="000000"/>
          <w:spacing w:val="1"/>
        </w:rPr>
      </w:pPr>
    </w:p>
    <w:p w:rsidR="00DF31CC" w:rsidRPr="00932101" w:rsidRDefault="00D329C3" w:rsidP="00D329C3">
      <w:pPr>
        <w:tabs>
          <w:tab w:val="left" w:pos="10460"/>
        </w:tabs>
        <w:spacing w:before="174" w:after="0" w:line="240" w:lineRule="auto"/>
        <w:ind w:right="-30"/>
        <w:jc w:val="both"/>
        <w:rPr>
          <w:rFonts w:cs="Book Antiqua"/>
          <w:b/>
          <w:color w:val="000000"/>
          <w:spacing w:val="-4"/>
        </w:rPr>
      </w:pPr>
      <w:r>
        <w:rPr>
          <w:rFonts w:cs="Book Antiqua"/>
          <w:b/>
          <w:color w:val="000000"/>
          <w:spacing w:val="1"/>
        </w:rPr>
        <w:t>Consider</w:t>
      </w:r>
      <w:r w:rsidR="00BF3D52" w:rsidRPr="00932101">
        <w:rPr>
          <w:rFonts w:cs="Book Antiqua"/>
          <w:b/>
          <w:color w:val="000000"/>
          <w:spacing w:val="1"/>
        </w:rPr>
        <w:t xml:space="preserve"> </w:t>
      </w:r>
      <w:r w:rsidR="00CC23DB" w:rsidRPr="00932101">
        <w:rPr>
          <w:rFonts w:cs="Book Antiqua"/>
          <w:b/>
          <w:color w:val="000000"/>
          <w:spacing w:val="-4"/>
        </w:rPr>
        <w:t>WITHOLD</w:t>
      </w:r>
      <w:r>
        <w:rPr>
          <w:rFonts w:cs="Book Antiqua"/>
          <w:b/>
          <w:color w:val="000000"/>
          <w:spacing w:val="-4"/>
        </w:rPr>
        <w:t>ING</w:t>
      </w:r>
      <w:r w:rsidR="00CC23DB" w:rsidRPr="00932101">
        <w:rPr>
          <w:rFonts w:cs="Book Antiqua"/>
          <w:b/>
          <w:color w:val="000000"/>
          <w:spacing w:val="-4"/>
        </w:rPr>
        <w:t xml:space="preserve"> lithium, take URGENT lithium serum level and U&amp;Es.</w:t>
      </w:r>
    </w:p>
    <w:p w:rsidR="00DF31CC" w:rsidRPr="00932101" w:rsidRDefault="00CC23DB" w:rsidP="00932101">
      <w:pPr>
        <w:spacing w:after="0" w:line="240" w:lineRule="auto"/>
      </w:pPr>
      <w:r w:rsidRPr="00932101">
        <w:rPr>
          <w:noProof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 wp14:anchorId="76AC9359" wp14:editId="559DB18B">
                <wp:simplePos x="0" y="0"/>
                <wp:positionH relativeFrom="page">
                  <wp:posOffset>895350</wp:posOffset>
                </wp:positionH>
                <wp:positionV relativeFrom="page">
                  <wp:posOffset>8255000</wp:posOffset>
                </wp:positionV>
                <wp:extent cx="5767070" cy="241300"/>
                <wp:effectExtent l="0" t="0" r="0" b="0"/>
                <wp:wrapNone/>
                <wp:docPr id="63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7070" cy="241300"/>
                        </a:xfrm>
                        <a:custGeom>
                          <a:avLst/>
                          <a:gdLst>
                            <a:gd name="T0" fmla="*/ 0 w 9081"/>
                            <a:gd name="T1" fmla="*/ 380 h 380"/>
                            <a:gd name="T2" fmla="*/ 0 w 9081"/>
                            <a:gd name="T3" fmla="*/ 1 h 380"/>
                            <a:gd name="T4" fmla="*/ 9081 w 9081"/>
                            <a:gd name="T5" fmla="*/ 1 h 380"/>
                            <a:gd name="T6" fmla="*/ 9081 w 9081"/>
                            <a:gd name="T7" fmla="*/ 380 h 380"/>
                            <a:gd name="T8" fmla="*/ 9081 w 9081"/>
                            <a:gd name="T9" fmla="*/ 380 h 3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081" h="380">
                              <a:moveTo>
                                <a:pt x="0" y="380"/>
                              </a:moveTo>
                              <a:lnTo>
                                <a:pt x="0" y="1"/>
                              </a:lnTo>
                              <a:lnTo>
                                <a:pt x="9081" y="1"/>
                              </a:lnTo>
                              <a:lnTo>
                                <a:pt x="9081" y="380"/>
                              </a:lnTo>
                            </a:path>
                          </a:pathLst>
                        </a:custGeom>
                        <a:solidFill>
                          <a:srgbClr val="FF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4" o:spid="_x0000_s1026" style="position:absolute;margin-left:70.5pt;margin-top:650pt;width:454.1pt;height:19pt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81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5PvSAMAAEkIAAAOAAAAZHJzL2Uyb0RvYy54bWysVl1vmzAUfZ+0/2D5cVLKR0gIqKRa2zFN&#10;6rZKzX6AAyaggc1sJ6Sb9t93bT5C2qaLpvWB2NzD8b3nwL29vNpXJdpRIQvOIuxc2BhRlvC0YJsI&#10;f1vFkwVGUhGWkpIzGuFHKvHV8u2by6YOqctzXqZUICBhMmzqCOdK1aFlySSnFZEXvKYMghkXFVGw&#10;FRsrFaQB9qq0XNueWw0XaS14QqWEu7dtEC8Nf5bRRH3NMkkVKiMMuSlzFea61ldreUnCjSB1XiRd&#10;GuQfsqhIweDQgeqWKIK2onhGVRWJ4JJn6iLhlcWzrEioqQGqcewn1TzkpKamFhBH1oNM8v/RJl92&#10;9wIVaYTnU4wYqcCjWFCqFUdzT+vT1DIE2EN9L3SFsr7jyXcJAesoojcSMGjdfOYp0JCt4kaTfSYq&#10;/SRUi/ZG+sdBerpXKIGbM3/u2z44lEDM9ZypbbyxSNg/nWyl+ki5YSK7O6la61JYGeHTLvsVkGRV&#10;CS6+s5CNGhTYC6fzecA4I8x0YaMcwfUpyB2BThGBaMNhzss03giiczmR0mwEO8E0H0FeYfJHsJPF&#10;wXc5JP4KVzCCHXGBM5tee5L3diR71vkBK0R0E7DNO1Bzqb3X5oDBK2MIUABKm3cCDAZo8FQb81cw&#10;yKzBs7PAoKQG+2eBQSoNDsbgNp2uVgFt5mmDERhBg1nrZ0hYE6Ul6peoibB5K1EeYf3i6UDFd3TF&#10;DUQdPpPutYTjDvGSPcf1gvax/rc2XO1hUMSZsMOpLQ8cr0swLgy1aAlG36TkZZHGRVnqEqTYrG9K&#10;gXYE+m4cxx/iuFPvCFYa9xnXj7Uet3egK3Ry6f5g+uivwHE9+9oNJvF84U+82JtNAt9eTGwnuA7m&#10;thd4t/FvraTjhXmRppTdFYz2Pd3xzuuZ3XRpu7Hp6sasmTszJh1lf1Skbf5eKlLwLUvNa5BTkn7o&#10;1ooUZbu2jjM2IkPZ/a8RwrRa3V3bdrzm6SN0WsHbeQbzFxY5Fz8xamCWRVj+2BJBMSo/MRgWgeN5&#10;eviZjTfzXdiIcWQ9jhCWAFWEFYYPWC9vVDswt7UoNjmc5BgtGH8PHT4rdCM2+bVZdRuYV6aCbrbq&#10;gTjeG9ThP4DlHwAAAP//AwBQSwMEFAAGAAgAAAAhAKbaqELgAAAADgEAAA8AAABkcnMvZG93bnJl&#10;di54bWxMT0FOwzAQvCPxB2uRuFG7aYXaEKeqkOiBE2mAsxNvk7SxHcVuEng9mxO9zeyMZmeS3WRa&#10;NmDvG2clLBcCGNrS6cZWEj7zt6cNMB+U1ap1FiX8oIdden+XqFi70WY4HEPFKMT6WEmoQ+hizn1Z&#10;o1F+4Tq0pJ1cb1Qg2ldc92qkcNPySIhnblRj6UOtOnytsbwcr0bCx/br8J7hPo+G38v4XWSHvDgb&#10;KR8fpv0LsIBT+DfDXJ+qQ0qdCne12rOW+HpJWwKBlRCEZotYbyNgxXxbbQTwNOG3M9I/AAAA//8D&#10;AFBLAQItABQABgAIAAAAIQC2gziS/gAAAOEBAAATAAAAAAAAAAAAAAAAAAAAAABbQ29udGVudF9U&#10;eXBlc10ueG1sUEsBAi0AFAAGAAgAAAAhADj9If/WAAAAlAEAAAsAAAAAAAAAAAAAAAAALwEAAF9y&#10;ZWxzLy5yZWxzUEsBAi0AFAAGAAgAAAAhAIPXk+9IAwAASQgAAA4AAAAAAAAAAAAAAAAALgIAAGRy&#10;cy9lMm9Eb2MueG1sUEsBAi0AFAAGAAgAAAAhAKbaqELgAAAADgEAAA8AAAAAAAAAAAAAAAAAogUA&#10;AGRycy9kb3ducmV2LnhtbFBLBQYAAAAABAAEAPMAAACvBgAAAAA=&#10;" o:allowincell="f" path="m,380l,1r9081,l9081,380e" fillcolor="#fffeff" stroked="f">
                <v:path arrowok="t" o:connecttype="custom" o:connectlocs="0,241300;0,635;5767070,635;5767070,241300;5767070,241300" o:connectangles="0,0,0,0,0"/>
                <w10:wrap anchorx="page" anchory="page"/>
              </v:shape>
            </w:pict>
          </mc:Fallback>
        </mc:AlternateContent>
      </w:r>
    </w:p>
    <w:p w:rsidR="00D329C3" w:rsidRPr="00D329C3" w:rsidRDefault="00D329C3" w:rsidP="00D329C3">
      <w:pPr>
        <w:spacing w:before="268" w:after="0" w:line="240" w:lineRule="auto"/>
        <w:rPr>
          <w:rFonts w:cs="Book Antiqua"/>
          <w:b/>
          <w:color w:val="000000"/>
          <w:u w:val="single"/>
        </w:rPr>
      </w:pPr>
      <w:r w:rsidRPr="00D329C3">
        <w:rPr>
          <w:rFonts w:cs="Book Antiqua"/>
          <w:b/>
          <w:color w:val="000000"/>
          <w:u w:val="single"/>
        </w:rPr>
        <w:t>5.0 At-risk patients</w:t>
      </w:r>
    </w:p>
    <w:p w:rsidR="00DF31CC" w:rsidRPr="00932101" w:rsidRDefault="00CC23DB" w:rsidP="00D329C3">
      <w:pPr>
        <w:spacing w:before="268" w:after="0" w:line="240" w:lineRule="auto"/>
      </w:pPr>
      <w:r w:rsidRPr="00932101">
        <w:rPr>
          <w:rFonts w:cs="Book Antiqua"/>
          <w:color w:val="000000"/>
        </w:rPr>
        <w:t>People who require more frequent lithium monitoring</w:t>
      </w:r>
    </w:p>
    <w:p w:rsidR="00DF31CC" w:rsidRPr="00932101" w:rsidRDefault="00CC23DB" w:rsidP="00D329C3">
      <w:pPr>
        <w:spacing w:before="246" w:after="0" w:line="240" w:lineRule="auto"/>
      </w:pPr>
      <w:r w:rsidRPr="00932101">
        <w:rPr>
          <w:rFonts w:cs="Book Antiqua"/>
          <w:i/>
          <w:color w:val="000000"/>
          <w:spacing w:val="-1"/>
        </w:rPr>
        <w:t>These patients MUST continue to have their regular lithium monitoring</w:t>
      </w:r>
    </w:p>
    <w:p w:rsidR="00DF31CC" w:rsidRPr="00932101" w:rsidRDefault="00DF31CC" w:rsidP="00932101">
      <w:pPr>
        <w:spacing w:after="0" w:line="240" w:lineRule="auto"/>
        <w:ind w:left="1946"/>
      </w:pPr>
    </w:p>
    <w:tbl>
      <w:tblPr>
        <w:tblW w:w="0" w:type="auto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</w:tblGrid>
      <w:tr w:rsidR="00DF31CC" w:rsidRPr="00932101" w:rsidTr="00D329C3">
        <w:trPr>
          <w:trHeight w:hRule="exact" w:val="364"/>
        </w:trPr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1CC" w:rsidRPr="00932101" w:rsidRDefault="00CC23DB" w:rsidP="00932101">
            <w:pPr>
              <w:spacing w:before="26" w:after="0" w:line="240" w:lineRule="auto"/>
              <w:ind w:left="115"/>
            </w:pPr>
            <w:r w:rsidRPr="00932101">
              <w:rPr>
                <w:rFonts w:cs="Book Antiqua"/>
                <w:color w:val="000000"/>
                <w:spacing w:val="-6"/>
              </w:rPr>
              <w:t>Elderly</w:t>
            </w:r>
          </w:p>
        </w:tc>
      </w:tr>
      <w:tr w:rsidR="00DF31CC" w:rsidRPr="00932101" w:rsidTr="00D329C3">
        <w:trPr>
          <w:trHeight w:hRule="exact" w:val="335"/>
        </w:trPr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1CC" w:rsidRPr="00932101" w:rsidRDefault="00CC23DB" w:rsidP="00932101">
            <w:pPr>
              <w:spacing w:before="21" w:after="0" w:line="240" w:lineRule="auto"/>
              <w:ind w:left="115"/>
            </w:pPr>
            <w:r w:rsidRPr="00932101">
              <w:rPr>
                <w:rFonts w:cs="Book Antiqua"/>
                <w:color w:val="000000"/>
                <w:spacing w:val="-1"/>
              </w:rPr>
              <w:t>Initiating or stopping drugs that interact with lithium*</w:t>
            </w:r>
          </w:p>
        </w:tc>
      </w:tr>
      <w:tr w:rsidR="00DF31CC" w:rsidRPr="00932101" w:rsidTr="00D329C3">
        <w:trPr>
          <w:trHeight w:hRule="exact" w:val="340"/>
        </w:trPr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1CC" w:rsidRPr="00932101" w:rsidRDefault="00CC23DB" w:rsidP="00932101">
            <w:pPr>
              <w:spacing w:before="21" w:after="0" w:line="240" w:lineRule="auto"/>
              <w:ind w:left="115"/>
            </w:pPr>
            <w:r w:rsidRPr="00932101">
              <w:rPr>
                <w:rFonts w:cs="Book Antiqua"/>
                <w:color w:val="000000"/>
              </w:rPr>
              <w:t>Established chronic kidney disease</w:t>
            </w:r>
          </w:p>
        </w:tc>
      </w:tr>
      <w:tr w:rsidR="00DF31CC" w:rsidRPr="00932101" w:rsidTr="00D329C3">
        <w:trPr>
          <w:trHeight w:hRule="exact" w:val="336"/>
        </w:trPr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1CC" w:rsidRPr="00932101" w:rsidRDefault="00CC23DB" w:rsidP="00932101">
            <w:pPr>
              <w:spacing w:before="21" w:after="0" w:line="240" w:lineRule="auto"/>
              <w:ind w:left="115"/>
            </w:pPr>
            <w:r w:rsidRPr="00932101">
              <w:rPr>
                <w:rFonts w:cs="Book Antiqua"/>
                <w:color w:val="000000"/>
                <w:spacing w:val="-1"/>
              </w:rPr>
              <w:t>Evidence of impaired thyroid function</w:t>
            </w:r>
          </w:p>
        </w:tc>
      </w:tr>
      <w:tr w:rsidR="00DF31CC" w:rsidRPr="00932101" w:rsidTr="00D329C3">
        <w:trPr>
          <w:trHeight w:hRule="exact" w:val="335"/>
        </w:trPr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1CC" w:rsidRPr="00932101" w:rsidRDefault="00CC23DB" w:rsidP="00932101">
            <w:pPr>
              <w:spacing w:before="21" w:after="0" w:line="240" w:lineRule="auto"/>
              <w:ind w:left="115"/>
            </w:pPr>
            <w:r w:rsidRPr="00932101">
              <w:rPr>
                <w:rFonts w:cs="Book Antiqua"/>
                <w:color w:val="000000"/>
                <w:spacing w:val="-1"/>
              </w:rPr>
              <w:t>Raised calcium level</w:t>
            </w:r>
          </w:p>
        </w:tc>
      </w:tr>
      <w:tr w:rsidR="00DF31CC" w:rsidRPr="00932101" w:rsidTr="00D329C3">
        <w:trPr>
          <w:trHeight w:hRule="exact" w:val="340"/>
        </w:trPr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1CC" w:rsidRPr="00932101" w:rsidRDefault="00CC23DB" w:rsidP="00932101">
            <w:pPr>
              <w:spacing w:before="27" w:after="0" w:line="240" w:lineRule="auto"/>
              <w:ind w:left="115"/>
            </w:pPr>
            <w:r w:rsidRPr="00932101">
              <w:rPr>
                <w:rFonts w:cs="Book Antiqua"/>
                <w:color w:val="000000"/>
              </w:rPr>
              <w:t>Poor symptom control</w:t>
            </w:r>
          </w:p>
        </w:tc>
      </w:tr>
      <w:tr w:rsidR="00DF31CC" w:rsidRPr="00932101" w:rsidTr="00D329C3">
        <w:trPr>
          <w:trHeight w:hRule="exact" w:val="335"/>
        </w:trPr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1CC" w:rsidRPr="00932101" w:rsidRDefault="00CC23DB" w:rsidP="00932101">
            <w:pPr>
              <w:spacing w:before="22" w:after="0" w:line="240" w:lineRule="auto"/>
              <w:ind w:left="115"/>
            </w:pPr>
            <w:r w:rsidRPr="00932101">
              <w:rPr>
                <w:rFonts w:cs="Book Antiqua"/>
                <w:color w:val="000000"/>
                <w:spacing w:val="3"/>
              </w:rPr>
              <w:t>Poor adherence</w:t>
            </w:r>
          </w:p>
        </w:tc>
      </w:tr>
      <w:tr w:rsidR="00DF31CC" w:rsidRPr="00932101" w:rsidTr="00D329C3">
        <w:trPr>
          <w:trHeight w:hRule="exact" w:val="340"/>
        </w:trPr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1CC" w:rsidRPr="00932101" w:rsidRDefault="00CC23DB" w:rsidP="00932101">
            <w:pPr>
              <w:spacing w:before="22" w:after="0" w:line="240" w:lineRule="auto"/>
              <w:ind w:left="115"/>
            </w:pPr>
            <w:r w:rsidRPr="00932101">
              <w:rPr>
                <w:rFonts w:cs="Book Antiqua"/>
                <w:color w:val="000000"/>
                <w:spacing w:val="-3"/>
              </w:rPr>
              <w:t xml:space="preserve">Has a lithium serum level </w:t>
            </w:r>
            <w:r w:rsidRPr="00932101">
              <w:rPr>
                <w:rFonts w:cs="Book Antiqua"/>
                <w:color w:val="000000"/>
                <w:spacing w:val="-3"/>
                <w:u w:val="single"/>
              </w:rPr>
              <w:t>&gt;</w:t>
            </w:r>
            <w:r w:rsidRPr="00932101">
              <w:rPr>
                <w:rFonts w:cs="Book Antiqua"/>
                <w:color w:val="000000"/>
                <w:spacing w:val="-3"/>
              </w:rPr>
              <w:t xml:space="preserve"> 0.8mmol/L</w:t>
            </w:r>
          </w:p>
        </w:tc>
      </w:tr>
    </w:tbl>
    <w:p w:rsidR="00DF31CC" w:rsidRPr="00932101" w:rsidRDefault="00CC23DB" w:rsidP="00D329C3">
      <w:pPr>
        <w:spacing w:before="20" w:after="0" w:line="240" w:lineRule="auto"/>
        <w:ind w:left="426"/>
      </w:pPr>
      <w:r w:rsidRPr="00932101">
        <w:rPr>
          <w:rFonts w:cs="Book Antiqua"/>
          <w:color w:val="000000"/>
          <w:spacing w:val="-2"/>
        </w:rPr>
        <w:t>*NSAIDS, ACE inhibitors, ARBs, diuretics</w:t>
      </w:r>
    </w:p>
    <w:p w:rsidR="00DF31CC" w:rsidRDefault="00DF31CC" w:rsidP="00932101">
      <w:pPr>
        <w:spacing w:after="0" w:line="240" w:lineRule="auto"/>
        <w:ind w:left="1437"/>
      </w:pPr>
    </w:p>
    <w:p w:rsidR="00362B3C" w:rsidRDefault="00362B3C" w:rsidP="00932101">
      <w:pPr>
        <w:spacing w:after="0" w:line="240" w:lineRule="auto"/>
        <w:ind w:left="1437"/>
      </w:pPr>
    </w:p>
    <w:p w:rsidR="00362B3C" w:rsidRDefault="00362B3C" w:rsidP="00932101">
      <w:pPr>
        <w:spacing w:after="0" w:line="240" w:lineRule="auto"/>
        <w:ind w:left="1437"/>
      </w:pPr>
    </w:p>
    <w:p w:rsidR="00362B3C" w:rsidRDefault="00362B3C" w:rsidP="00932101">
      <w:pPr>
        <w:spacing w:after="0" w:line="240" w:lineRule="auto"/>
        <w:ind w:left="1437"/>
      </w:pPr>
    </w:p>
    <w:p w:rsidR="00362B3C" w:rsidRDefault="00362B3C" w:rsidP="00932101">
      <w:pPr>
        <w:spacing w:after="0" w:line="240" w:lineRule="auto"/>
        <w:ind w:left="1437"/>
      </w:pPr>
    </w:p>
    <w:p w:rsidR="00362B3C" w:rsidRDefault="00362B3C" w:rsidP="00932101">
      <w:pPr>
        <w:spacing w:after="0" w:line="240" w:lineRule="auto"/>
        <w:ind w:left="1437"/>
      </w:pPr>
    </w:p>
    <w:p w:rsidR="00362B3C" w:rsidRDefault="00362B3C" w:rsidP="00932101">
      <w:pPr>
        <w:spacing w:after="0" w:line="240" w:lineRule="auto"/>
        <w:ind w:left="1437"/>
      </w:pPr>
    </w:p>
    <w:p w:rsidR="00362B3C" w:rsidRDefault="00362B3C" w:rsidP="00932101">
      <w:pPr>
        <w:spacing w:after="0" w:line="240" w:lineRule="auto"/>
        <w:ind w:left="1437"/>
      </w:pPr>
    </w:p>
    <w:p w:rsidR="00362B3C" w:rsidRDefault="00362B3C" w:rsidP="00932101">
      <w:pPr>
        <w:spacing w:after="0" w:line="240" w:lineRule="auto"/>
        <w:ind w:left="1437"/>
      </w:pPr>
    </w:p>
    <w:p w:rsidR="00362B3C" w:rsidRDefault="00362B3C" w:rsidP="00932101">
      <w:pPr>
        <w:spacing w:after="0" w:line="240" w:lineRule="auto"/>
        <w:ind w:left="1437"/>
      </w:pPr>
    </w:p>
    <w:p w:rsidR="00362B3C" w:rsidRDefault="00362B3C" w:rsidP="00932101">
      <w:pPr>
        <w:spacing w:after="0" w:line="240" w:lineRule="auto"/>
        <w:ind w:left="1437"/>
      </w:pPr>
    </w:p>
    <w:p w:rsidR="00362B3C" w:rsidRPr="00932101" w:rsidRDefault="00362B3C" w:rsidP="00932101">
      <w:pPr>
        <w:spacing w:after="0" w:line="240" w:lineRule="auto"/>
        <w:ind w:left="1437"/>
      </w:pPr>
    </w:p>
    <w:p w:rsidR="00DF31CC" w:rsidRDefault="00DF31CC" w:rsidP="00932101">
      <w:pPr>
        <w:spacing w:after="0" w:line="276" w:lineRule="exact"/>
        <w:rPr>
          <w:rFonts w:cs="Times New Roman"/>
        </w:rPr>
      </w:pPr>
    </w:p>
    <w:p w:rsidR="00932101" w:rsidRDefault="00932101" w:rsidP="00932101">
      <w:pPr>
        <w:spacing w:after="0" w:line="276" w:lineRule="exact"/>
        <w:rPr>
          <w:rFonts w:cs="Times New Roman"/>
        </w:rPr>
      </w:pPr>
    </w:p>
    <w:p w:rsidR="00932101" w:rsidRDefault="00932101" w:rsidP="00932101">
      <w:pPr>
        <w:spacing w:after="0" w:line="276" w:lineRule="exact"/>
        <w:rPr>
          <w:rFonts w:cs="Times New Roman"/>
        </w:rPr>
      </w:pPr>
    </w:p>
    <w:p w:rsidR="00932101" w:rsidRPr="00932101" w:rsidRDefault="00932101" w:rsidP="00932101">
      <w:pPr>
        <w:spacing w:after="0" w:line="276" w:lineRule="exact"/>
      </w:pPr>
    </w:p>
    <w:p w:rsidR="00932101" w:rsidRPr="00932101" w:rsidRDefault="00CC23DB" w:rsidP="00D329C3">
      <w:pPr>
        <w:spacing w:before="212" w:after="0" w:line="276" w:lineRule="exact"/>
        <w:rPr>
          <w:b/>
        </w:rPr>
      </w:pPr>
      <w:r w:rsidRPr="00932101">
        <w:rPr>
          <w:rFonts w:cs="Book Antiqua"/>
          <w:b/>
          <w:color w:val="000000"/>
          <w:spacing w:val="4"/>
        </w:rPr>
        <w:t>References</w:t>
      </w:r>
    </w:p>
    <w:p w:rsidR="00932101" w:rsidRPr="00932101" w:rsidRDefault="00932101" w:rsidP="00D329C3">
      <w:pPr>
        <w:pStyle w:val="ListParagraph"/>
        <w:numPr>
          <w:ilvl w:val="0"/>
          <w:numId w:val="1"/>
        </w:numPr>
        <w:spacing w:before="72" w:after="0" w:line="276" w:lineRule="exact"/>
        <w:ind w:left="426" w:right="843"/>
      </w:pPr>
      <w:r w:rsidRPr="00932101">
        <w:rPr>
          <w:rFonts w:cs="Book Antiqua"/>
          <w:color w:val="000000"/>
          <w:spacing w:val="1"/>
        </w:rPr>
        <w:t xml:space="preserve">National Institute for Health and Care Excellence (2014). </w:t>
      </w:r>
      <w:r w:rsidRPr="00932101">
        <w:rPr>
          <w:rFonts w:cs="Book Antiqua"/>
          <w:i/>
          <w:color w:val="000000"/>
          <w:spacing w:val="1"/>
        </w:rPr>
        <w:t xml:space="preserve">Bipolar disorder: </w:t>
      </w:r>
      <w:r w:rsidRPr="00932101">
        <w:t xml:space="preserve"> </w:t>
      </w:r>
      <w:r w:rsidRPr="00932101">
        <w:rPr>
          <w:rFonts w:cs="Book Antiqua"/>
          <w:i/>
          <w:color w:val="000000"/>
          <w:spacing w:val="1"/>
        </w:rPr>
        <w:t xml:space="preserve">assessment and management. </w:t>
      </w:r>
      <w:r w:rsidRPr="00932101">
        <w:rPr>
          <w:rFonts w:cs="Book Antiqua"/>
          <w:color w:val="000000"/>
          <w:spacing w:val="1"/>
        </w:rPr>
        <w:t xml:space="preserve">(NICE Guideline 185). Updated February </w:t>
      </w:r>
      <w:r w:rsidRPr="00932101">
        <w:rPr>
          <w:rFonts w:cs="Book Antiqua"/>
          <w:color w:val="000000"/>
          <w:spacing w:val="-3"/>
        </w:rPr>
        <w:t xml:space="preserve">2020. Available at: </w:t>
      </w:r>
      <w:hyperlink r:id="rId9" w:history="1">
        <w:r w:rsidRPr="00932101">
          <w:rPr>
            <w:rFonts w:cs="Book Antiqua"/>
            <w:color w:val="0462C1"/>
            <w:spacing w:val="-3"/>
            <w:u w:val="single"/>
          </w:rPr>
          <w:t>https://www.nice.org.uk/guidance/cg185</w:t>
        </w:r>
      </w:hyperlink>
    </w:p>
    <w:p w:rsidR="00DF31CC" w:rsidRPr="00932101" w:rsidRDefault="00CC23DB" w:rsidP="00D329C3">
      <w:pPr>
        <w:pStyle w:val="ListParagraph"/>
        <w:numPr>
          <w:ilvl w:val="0"/>
          <w:numId w:val="1"/>
        </w:numPr>
        <w:spacing w:before="212" w:after="0" w:line="276" w:lineRule="exact"/>
        <w:ind w:left="426" w:right="843"/>
        <w:rPr>
          <w:b/>
        </w:rPr>
      </w:pPr>
      <w:r w:rsidRPr="00932101">
        <w:rPr>
          <w:rFonts w:cs="Book Antiqua"/>
          <w:color w:val="000000"/>
          <w:spacing w:val="-1"/>
        </w:rPr>
        <w:t>Taylor DM, Young AH, Barnes TRE. The Maudsley Prescribing Guidelines in Psychiatry 13th Edition. Vol. 13, Wiley Blackwell. 2018. 1-854.</w:t>
      </w:r>
    </w:p>
    <w:p w:rsidR="00932101" w:rsidRPr="00932101" w:rsidRDefault="00CC23DB" w:rsidP="00D329C3">
      <w:pPr>
        <w:pStyle w:val="ListParagraph"/>
        <w:numPr>
          <w:ilvl w:val="0"/>
          <w:numId w:val="1"/>
        </w:numPr>
        <w:spacing w:before="212" w:after="0" w:line="276" w:lineRule="exact"/>
        <w:ind w:left="426" w:right="843"/>
        <w:rPr>
          <w:b/>
        </w:rPr>
      </w:pPr>
      <w:r w:rsidRPr="00932101">
        <w:rPr>
          <w:rFonts w:cs="Book Antiqua"/>
          <w:color w:val="000000"/>
          <w:spacing w:val="1"/>
        </w:rPr>
        <w:t>Ott M, Stegmayr B, Salander Renberg E, Werneke U. Lithium intoxication:</w:t>
      </w:r>
      <w:r w:rsidR="00932101" w:rsidRPr="00932101">
        <w:rPr>
          <w:rFonts w:cs="Book Antiqua"/>
          <w:color w:val="000000"/>
          <w:spacing w:val="1"/>
        </w:rPr>
        <w:t xml:space="preserve"> </w:t>
      </w:r>
      <w:r w:rsidRPr="00932101">
        <w:rPr>
          <w:rFonts w:cs="Book Antiqua"/>
          <w:color w:val="000000"/>
          <w:spacing w:val="1"/>
        </w:rPr>
        <w:t>incidence, clinical course and renal function a</w:t>
      </w:r>
      <w:r w:rsidR="00932101" w:rsidRPr="00932101">
        <w:rPr>
          <w:rFonts w:cs="Book Antiqua"/>
          <w:color w:val="000000"/>
          <w:spacing w:val="1"/>
        </w:rPr>
        <w:t xml:space="preserve"> population-based retrospective </w:t>
      </w:r>
      <w:r w:rsidRPr="00932101">
        <w:rPr>
          <w:rFonts w:cs="Book Antiqua"/>
          <w:color w:val="000000"/>
          <w:spacing w:val="1"/>
        </w:rPr>
        <w:t>cohort study. J Psychopharmacol (Oxford, England) 2016;30(10):1008-1019.</w:t>
      </w:r>
    </w:p>
    <w:p w:rsidR="00362B3C" w:rsidRPr="00D27AA5" w:rsidRDefault="00CC23DB" w:rsidP="00D329C3">
      <w:pPr>
        <w:pStyle w:val="ListParagraph"/>
        <w:numPr>
          <w:ilvl w:val="0"/>
          <w:numId w:val="1"/>
        </w:numPr>
        <w:spacing w:before="32" w:after="0" w:line="340" w:lineRule="exact"/>
        <w:ind w:left="426" w:right="843"/>
        <w:rPr>
          <w:rFonts w:cs="Book Antiqua"/>
          <w:color w:val="000000"/>
          <w:spacing w:val="1"/>
        </w:rPr>
      </w:pPr>
      <w:r w:rsidRPr="00932101">
        <w:rPr>
          <w:rFonts w:cs="Book Antiqua"/>
          <w:color w:val="000000"/>
          <w:spacing w:val="1"/>
        </w:rPr>
        <w:t xml:space="preserve">Cheng Y, Luo R, Wang K, Zhang M, Wang Z, Dong L, Li J, Yao Y, Ge S, Xu G, </w:t>
      </w:r>
      <w:r w:rsidRPr="00932101">
        <w:br/>
      </w:r>
      <w:r w:rsidRPr="00932101">
        <w:rPr>
          <w:rFonts w:cs="Book Antiqua"/>
          <w:color w:val="000000"/>
        </w:rPr>
        <w:tab/>
        <w:t>Kidney disease is associated with in-hospital death of patients with COVID-19, Kidney International (2020), doi:</w:t>
      </w:r>
      <w:r w:rsidR="00D27AA5">
        <w:rPr>
          <w:rFonts w:cs="Book Antiqua"/>
          <w:color w:val="000000"/>
        </w:rPr>
        <w:t xml:space="preserve"> </w:t>
      </w:r>
      <w:hyperlink r:id="rId10" w:history="1">
        <w:r w:rsidRPr="00D27AA5">
          <w:rPr>
            <w:rFonts w:cs="Book Antiqua"/>
            <w:color w:val="0462C1"/>
            <w:u w:val="single"/>
          </w:rPr>
          <w:t>https://doi.org/10.1016/j.kint.2020.03.005.</w:t>
        </w:r>
      </w:hyperlink>
    </w:p>
    <w:p w:rsidR="00362B3C" w:rsidRDefault="00362B3C" w:rsidP="00932101">
      <w:pPr>
        <w:spacing w:before="72" w:after="0" w:line="276" w:lineRule="exact"/>
        <w:ind w:left="2157" w:right="843"/>
        <w:rPr>
          <w:rFonts w:cs="Book Antiqua"/>
          <w:color w:val="0462C1"/>
          <w:u w:val="single"/>
        </w:rPr>
      </w:pPr>
    </w:p>
    <w:p w:rsidR="00362B3C" w:rsidRDefault="00362B3C" w:rsidP="00932101">
      <w:pPr>
        <w:spacing w:before="72" w:after="0" w:line="276" w:lineRule="exact"/>
        <w:ind w:left="2157" w:right="843"/>
        <w:rPr>
          <w:rFonts w:cs="Book Antiqua"/>
          <w:color w:val="0462C1"/>
          <w:u w:val="single"/>
        </w:rPr>
      </w:pPr>
    </w:p>
    <w:p w:rsidR="00362B3C" w:rsidRDefault="00362B3C" w:rsidP="00932101">
      <w:pPr>
        <w:spacing w:before="72" w:after="0" w:line="276" w:lineRule="exact"/>
        <w:ind w:left="2157" w:right="843"/>
        <w:rPr>
          <w:rFonts w:cs="Book Antiqua"/>
          <w:color w:val="0462C1"/>
          <w:u w:val="single"/>
        </w:rPr>
      </w:pPr>
    </w:p>
    <w:p w:rsidR="00362B3C" w:rsidRDefault="00362B3C" w:rsidP="00932101">
      <w:pPr>
        <w:spacing w:before="72" w:after="0" w:line="276" w:lineRule="exact"/>
        <w:ind w:left="2157" w:right="843"/>
        <w:rPr>
          <w:rFonts w:cs="Book Antiqua"/>
          <w:color w:val="0462C1"/>
          <w:u w:val="single"/>
        </w:rPr>
      </w:pPr>
    </w:p>
    <w:p w:rsidR="00362B3C" w:rsidRDefault="00362B3C" w:rsidP="00932101">
      <w:pPr>
        <w:spacing w:before="72" w:after="0" w:line="276" w:lineRule="exact"/>
        <w:ind w:left="2157" w:right="843"/>
        <w:rPr>
          <w:rFonts w:cs="Book Antiqua"/>
          <w:color w:val="0462C1"/>
          <w:u w:val="single"/>
        </w:rPr>
      </w:pPr>
    </w:p>
    <w:p w:rsidR="00362B3C" w:rsidRDefault="00362B3C" w:rsidP="00932101">
      <w:pPr>
        <w:spacing w:before="72" w:after="0" w:line="276" w:lineRule="exact"/>
        <w:ind w:left="2157" w:right="843"/>
        <w:rPr>
          <w:rFonts w:cs="Book Antiqua"/>
          <w:color w:val="0462C1"/>
          <w:u w:val="single"/>
        </w:rPr>
      </w:pPr>
    </w:p>
    <w:p w:rsidR="00362B3C" w:rsidRDefault="00362B3C" w:rsidP="00932101">
      <w:pPr>
        <w:spacing w:before="72" w:after="0" w:line="276" w:lineRule="exact"/>
        <w:ind w:left="2157" w:right="843"/>
        <w:rPr>
          <w:rFonts w:cs="Book Antiqua"/>
          <w:color w:val="0462C1"/>
          <w:u w:val="single"/>
        </w:rPr>
      </w:pPr>
    </w:p>
    <w:p w:rsidR="00362B3C" w:rsidRDefault="00362B3C" w:rsidP="00932101">
      <w:pPr>
        <w:spacing w:before="72" w:after="0" w:line="276" w:lineRule="exact"/>
        <w:ind w:left="2157" w:right="843"/>
        <w:rPr>
          <w:rFonts w:cs="Book Antiqua"/>
          <w:color w:val="0462C1"/>
          <w:u w:val="single"/>
        </w:rPr>
      </w:pPr>
    </w:p>
    <w:p w:rsidR="00362B3C" w:rsidRDefault="00362B3C" w:rsidP="00932101">
      <w:pPr>
        <w:spacing w:before="72" w:after="0" w:line="276" w:lineRule="exact"/>
        <w:ind w:left="2157" w:right="843"/>
        <w:rPr>
          <w:rFonts w:cs="Book Antiqua"/>
          <w:color w:val="0462C1"/>
          <w:u w:val="single"/>
        </w:rPr>
      </w:pPr>
    </w:p>
    <w:p w:rsidR="00362B3C" w:rsidRDefault="00362B3C" w:rsidP="00932101">
      <w:pPr>
        <w:spacing w:before="72" w:after="0" w:line="276" w:lineRule="exact"/>
        <w:ind w:left="2157" w:right="843"/>
        <w:rPr>
          <w:rFonts w:cs="Book Antiqua"/>
          <w:color w:val="0462C1"/>
          <w:u w:val="single"/>
        </w:rPr>
      </w:pPr>
    </w:p>
    <w:p w:rsidR="00362B3C" w:rsidRDefault="00362B3C" w:rsidP="00932101">
      <w:pPr>
        <w:spacing w:before="72" w:after="0" w:line="276" w:lineRule="exact"/>
        <w:ind w:left="2157" w:right="843"/>
        <w:rPr>
          <w:rFonts w:cs="Book Antiqua"/>
          <w:color w:val="0462C1"/>
          <w:u w:val="single"/>
        </w:rPr>
      </w:pPr>
    </w:p>
    <w:p w:rsidR="00362B3C" w:rsidRDefault="00362B3C" w:rsidP="00932101">
      <w:pPr>
        <w:spacing w:before="72" w:after="0" w:line="276" w:lineRule="exact"/>
        <w:ind w:left="2157" w:right="843"/>
        <w:rPr>
          <w:rFonts w:cs="Book Antiqua"/>
          <w:color w:val="0462C1"/>
          <w:u w:val="single"/>
        </w:rPr>
      </w:pPr>
    </w:p>
    <w:p w:rsidR="00362B3C" w:rsidRDefault="00362B3C" w:rsidP="00932101">
      <w:pPr>
        <w:spacing w:before="72" w:after="0" w:line="276" w:lineRule="exact"/>
        <w:ind w:left="2157" w:right="843"/>
        <w:rPr>
          <w:rFonts w:cs="Book Antiqua"/>
          <w:color w:val="0462C1"/>
          <w:u w:val="single"/>
        </w:rPr>
      </w:pPr>
    </w:p>
    <w:p w:rsidR="00362B3C" w:rsidRDefault="00362B3C" w:rsidP="00932101">
      <w:pPr>
        <w:spacing w:before="72" w:after="0" w:line="276" w:lineRule="exact"/>
        <w:ind w:left="2157" w:right="843"/>
        <w:rPr>
          <w:rFonts w:cs="Book Antiqua"/>
          <w:color w:val="0462C1"/>
          <w:u w:val="single"/>
        </w:rPr>
      </w:pPr>
    </w:p>
    <w:p w:rsidR="00362B3C" w:rsidRDefault="00362B3C" w:rsidP="00932101">
      <w:pPr>
        <w:spacing w:before="72" w:after="0" w:line="276" w:lineRule="exact"/>
        <w:ind w:left="2157" w:right="843"/>
        <w:rPr>
          <w:rFonts w:cs="Book Antiqua"/>
          <w:color w:val="0462C1"/>
          <w:u w:val="single"/>
        </w:rPr>
      </w:pPr>
    </w:p>
    <w:p w:rsidR="00362B3C" w:rsidRDefault="00362B3C" w:rsidP="00932101">
      <w:pPr>
        <w:spacing w:before="72" w:after="0" w:line="276" w:lineRule="exact"/>
        <w:ind w:left="2157" w:right="843"/>
        <w:rPr>
          <w:rFonts w:cs="Book Antiqua"/>
          <w:color w:val="0462C1"/>
          <w:u w:val="single"/>
        </w:rPr>
      </w:pPr>
    </w:p>
    <w:p w:rsidR="00362B3C" w:rsidRDefault="00362B3C" w:rsidP="00932101">
      <w:pPr>
        <w:spacing w:before="72" w:after="0" w:line="276" w:lineRule="exact"/>
        <w:ind w:left="2157" w:right="843"/>
        <w:rPr>
          <w:rFonts w:cs="Book Antiqua"/>
          <w:color w:val="0462C1"/>
          <w:u w:val="single"/>
        </w:rPr>
      </w:pPr>
    </w:p>
    <w:p w:rsidR="00362B3C" w:rsidRDefault="00362B3C" w:rsidP="00932101">
      <w:pPr>
        <w:spacing w:before="72" w:after="0" w:line="276" w:lineRule="exact"/>
        <w:ind w:left="2157" w:right="843"/>
        <w:rPr>
          <w:rFonts w:cs="Book Antiqua"/>
          <w:color w:val="0462C1"/>
          <w:u w:val="single"/>
        </w:rPr>
      </w:pPr>
    </w:p>
    <w:p w:rsidR="00362B3C" w:rsidRDefault="00362B3C" w:rsidP="00932101">
      <w:pPr>
        <w:spacing w:before="72" w:after="0" w:line="276" w:lineRule="exact"/>
        <w:ind w:left="2157" w:right="843"/>
        <w:rPr>
          <w:rFonts w:cs="Book Antiqua"/>
          <w:color w:val="0462C1"/>
          <w:u w:val="single"/>
        </w:rPr>
      </w:pPr>
    </w:p>
    <w:p w:rsidR="00362B3C" w:rsidRDefault="00362B3C" w:rsidP="00932101">
      <w:pPr>
        <w:spacing w:before="72" w:after="0" w:line="276" w:lineRule="exact"/>
        <w:ind w:left="2157" w:right="843"/>
        <w:rPr>
          <w:rFonts w:cs="Book Antiqua"/>
          <w:color w:val="0462C1"/>
          <w:u w:val="single"/>
        </w:rPr>
      </w:pPr>
    </w:p>
    <w:p w:rsidR="00362B3C" w:rsidRDefault="00362B3C" w:rsidP="00932101">
      <w:pPr>
        <w:spacing w:before="72" w:after="0" w:line="276" w:lineRule="exact"/>
        <w:ind w:left="2157" w:right="843"/>
        <w:rPr>
          <w:rFonts w:cs="Book Antiqua"/>
          <w:color w:val="0462C1"/>
          <w:u w:val="single"/>
        </w:rPr>
      </w:pPr>
    </w:p>
    <w:p w:rsidR="00362B3C" w:rsidRDefault="00362B3C" w:rsidP="00932101">
      <w:pPr>
        <w:spacing w:before="72" w:after="0" w:line="276" w:lineRule="exact"/>
        <w:ind w:left="2157" w:right="843"/>
        <w:rPr>
          <w:rFonts w:cs="Book Antiqua"/>
          <w:color w:val="0462C1"/>
          <w:u w:val="single"/>
        </w:rPr>
      </w:pPr>
    </w:p>
    <w:p w:rsidR="00362B3C" w:rsidRDefault="00362B3C" w:rsidP="00932101">
      <w:pPr>
        <w:spacing w:before="72" w:after="0" w:line="276" w:lineRule="exact"/>
        <w:ind w:left="2157" w:right="843"/>
        <w:rPr>
          <w:rFonts w:cs="Book Antiqua"/>
          <w:color w:val="0462C1"/>
          <w:u w:val="single"/>
        </w:rPr>
      </w:pPr>
    </w:p>
    <w:p w:rsidR="00362B3C" w:rsidRDefault="00362B3C" w:rsidP="00932101">
      <w:pPr>
        <w:spacing w:before="72" w:after="0" w:line="276" w:lineRule="exact"/>
        <w:ind w:left="2157" w:right="843"/>
        <w:rPr>
          <w:rFonts w:cs="Book Antiqua"/>
          <w:color w:val="0462C1"/>
          <w:u w:val="single"/>
        </w:rPr>
      </w:pPr>
    </w:p>
    <w:p w:rsidR="00362B3C" w:rsidRDefault="00362B3C" w:rsidP="00932101">
      <w:pPr>
        <w:spacing w:before="72" w:after="0" w:line="276" w:lineRule="exact"/>
        <w:ind w:left="2157" w:right="843"/>
        <w:rPr>
          <w:rFonts w:cs="Book Antiqua"/>
          <w:color w:val="0462C1"/>
          <w:u w:val="single"/>
        </w:rPr>
      </w:pPr>
    </w:p>
    <w:p w:rsidR="00362B3C" w:rsidRDefault="00362B3C" w:rsidP="00932101">
      <w:pPr>
        <w:spacing w:before="72" w:after="0" w:line="276" w:lineRule="exact"/>
        <w:ind w:left="2157" w:right="843"/>
        <w:rPr>
          <w:rFonts w:cs="Book Antiqua"/>
          <w:color w:val="0462C1"/>
          <w:u w:val="single"/>
        </w:rPr>
      </w:pPr>
    </w:p>
    <w:p w:rsidR="00362B3C" w:rsidRDefault="00362B3C" w:rsidP="00932101">
      <w:pPr>
        <w:spacing w:before="72" w:after="0" w:line="276" w:lineRule="exact"/>
        <w:ind w:left="2157" w:right="843"/>
        <w:rPr>
          <w:rFonts w:cs="Book Antiqua"/>
          <w:color w:val="0462C1"/>
          <w:u w:val="single"/>
        </w:rPr>
      </w:pPr>
    </w:p>
    <w:p w:rsidR="00362B3C" w:rsidRDefault="00362B3C" w:rsidP="00932101">
      <w:pPr>
        <w:spacing w:before="72" w:after="0" w:line="276" w:lineRule="exact"/>
        <w:ind w:left="2157" w:right="843"/>
        <w:rPr>
          <w:rFonts w:cs="Book Antiqua"/>
          <w:color w:val="0462C1"/>
          <w:u w:val="single"/>
        </w:rPr>
      </w:pPr>
    </w:p>
    <w:p w:rsidR="00362B3C" w:rsidRDefault="00362B3C" w:rsidP="00932101">
      <w:pPr>
        <w:spacing w:before="72" w:after="0" w:line="276" w:lineRule="exact"/>
        <w:ind w:left="2157" w:right="843"/>
        <w:rPr>
          <w:rFonts w:cs="Book Antiqua"/>
          <w:color w:val="0462C1"/>
          <w:u w:val="single"/>
        </w:rPr>
      </w:pPr>
    </w:p>
    <w:p w:rsidR="00932101" w:rsidRPr="00932101" w:rsidRDefault="00932101" w:rsidP="00D329C3">
      <w:pPr>
        <w:spacing w:before="72" w:after="0" w:line="276" w:lineRule="exact"/>
        <w:ind w:right="843"/>
      </w:pPr>
    </w:p>
    <w:sectPr w:rsidR="00932101" w:rsidRPr="00932101" w:rsidSect="00D329C3">
      <w:footerReference w:type="default" r:id="rId11"/>
      <w:pgSz w:w="11900" w:h="16820"/>
      <w:pgMar w:top="720" w:right="720" w:bottom="720" w:left="720" w:header="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CED" w:rsidRDefault="003B3CED" w:rsidP="003B3CED">
      <w:pPr>
        <w:spacing w:after="0" w:line="240" w:lineRule="auto"/>
      </w:pPr>
      <w:r>
        <w:separator/>
      </w:r>
    </w:p>
  </w:endnote>
  <w:endnote w:type="continuationSeparator" w:id="0">
    <w:p w:rsidR="003B3CED" w:rsidRDefault="003B3CED" w:rsidP="003B3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CED" w:rsidRDefault="00D329C3">
    <w:pPr>
      <w:pStyle w:val="Footer"/>
    </w:pPr>
    <w:r>
      <w:t>V</w:t>
    </w:r>
    <w:r w:rsidR="003B3CED">
      <w:t>ersion 1 Lithium guidance during COVID-19</w:t>
    </w:r>
    <w:r w:rsidR="003B3CED">
      <w:tab/>
    </w:r>
    <w:r w:rsidR="003B3CED">
      <w:tab/>
      <w:t>Date 31</w:t>
    </w:r>
    <w:r w:rsidR="003B3CED" w:rsidRPr="003B3CED">
      <w:rPr>
        <w:vertAlign w:val="superscript"/>
      </w:rPr>
      <w:t>st</w:t>
    </w:r>
    <w:r w:rsidR="003B3CED">
      <w:t xml:space="preserve"> March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CED" w:rsidRDefault="003B3CED" w:rsidP="003B3CED">
      <w:pPr>
        <w:spacing w:after="0" w:line="240" w:lineRule="auto"/>
      </w:pPr>
      <w:r>
        <w:separator/>
      </w:r>
    </w:p>
  </w:footnote>
  <w:footnote w:type="continuationSeparator" w:id="0">
    <w:p w:rsidR="003B3CED" w:rsidRDefault="003B3CED" w:rsidP="003B3C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50B2A"/>
    <w:multiLevelType w:val="hybridMultilevel"/>
    <w:tmpl w:val="9EEC3692"/>
    <w:lvl w:ilvl="0" w:tplc="08090001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1">
    <w:nsid w:val="3CDF7F7F"/>
    <w:multiLevelType w:val="hybridMultilevel"/>
    <w:tmpl w:val="0FF80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2E3"/>
    <w:rsid w:val="00150D4F"/>
    <w:rsid w:val="001879C7"/>
    <w:rsid w:val="00316353"/>
    <w:rsid w:val="00362B3C"/>
    <w:rsid w:val="003B3CED"/>
    <w:rsid w:val="004930FA"/>
    <w:rsid w:val="008202E3"/>
    <w:rsid w:val="00932101"/>
    <w:rsid w:val="00A06EC7"/>
    <w:rsid w:val="00BF3D52"/>
    <w:rsid w:val="00CC23DB"/>
    <w:rsid w:val="00CE5E0D"/>
    <w:rsid w:val="00D27AA5"/>
    <w:rsid w:val="00D3207C"/>
    <w:rsid w:val="00D329C3"/>
    <w:rsid w:val="00DF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7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F3D52"/>
    <w:pPr>
      <w:ind w:left="720"/>
      <w:contextualSpacing/>
    </w:pPr>
  </w:style>
  <w:style w:type="paragraph" w:styleId="NoSpacing">
    <w:name w:val="No Spacing"/>
    <w:uiPriority w:val="1"/>
    <w:qFormat/>
    <w:rsid w:val="0093210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B3C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CED"/>
  </w:style>
  <w:style w:type="paragraph" w:styleId="Footer">
    <w:name w:val="footer"/>
    <w:basedOn w:val="Normal"/>
    <w:link w:val="FooterChar"/>
    <w:uiPriority w:val="99"/>
    <w:unhideWhenUsed/>
    <w:rsid w:val="003B3C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C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7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F3D52"/>
    <w:pPr>
      <w:ind w:left="720"/>
      <w:contextualSpacing/>
    </w:pPr>
  </w:style>
  <w:style w:type="paragraph" w:styleId="NoSpacing">
    <w:name w:val="No Spacing"/>
    <w:uiPriority w:val="1"/>
    <w:qFormat/>
    <w:rsid w:val="0093210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B3C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CED"/>
  </w:style>
  <w:style w:type="paragraph" w:styleId="Footer">
    <w:name w:val="footer"/>
    <w:basedOn w:val="Normal"/>
    <w:link w:val="FooterChar"/>
    <w:uiPriority w:val="99"/>
    <w:unhideWhenUsed/>
    <w:rsid w:val="003B3C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5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doi.org/10.1016/j.kint.2020.03.005.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ce.org.uk/guidance/cg18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4071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&amp; Medway Partnership Trust</Company>
  <LinksUpToDate>false</LinksUpToDate>
  <CharactersWithSpaces>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BAHIA Jag</dc:creator>
  <cp:lastModifiedBy>Bahia Jagdip</cp:lastModifiedBy>
  <cp:revision>2</cp:revision>
  <dcterms:created xsi:type="dcterms:W3CDTF">2020-03-31T12:35:00Z</dcterms:created>
  <dcterms:modified xsi:type="dcterms:W3CDTF">2020-03-31T12:35:00Z</dcterms:modified>
</cp:coreProperties>
</file>